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CCF5AB">
      <w:pPr>
        <w:spacing w:after="160" w:line="278" w:lineRule="auto"/>
        <w:jc w:val="center"/>
        <w:rPr>
          <w:b/>
          <w:bCs/>
          <w:sz w:val="28"/>
          <w:szCs w:val="28"/>
        </w:rPr>
      </w:pPr>
      <w:r>
        <w:rPr>
          <w:b/>
          <w:bCs/>
          <w:sz w:val="28"/>
          <w:szCs w:val="28"/>
        </w:rPr>
        <w:t xml:space="preserve">2026 (28th) China Mining Conference and </w:t>
      </w:r>
      <w:r>
        <w:rPr>
          <w:rFonts w:hint="eastAsia"/>
          <w:b/>
          <w:bCs/>
          <w:sz w:val="28"/>
          <w:szCs w:val="28"/>
        </w:rPr>
        <w:t>Exhibition</w:t>
      </w:r>
    </w:p>
    <w:p w14:paraId="78F99269">
      <w:pPr>
        <w:spacing w:after="160" w:line="278" w:lineRule="auto"/>
        <w:jc w:val="center"/>
        <w:rPr>
          <w:b/>
          <w:bCs/>
          <w:sz w:val="28"/>
          <w:szCs w:val="28"/>
        </w:rPr>
      </w:pPr>
      <w:r>
        <w:rPr>
          <w:rFonts w:eastAsiaTheme="minorEastAsia"/>
          <w:b/>
          <w:bCs/>
          <w:sz w:val="28"/>
          <w:szCs w:val="28"/>
        </w:rPr>
        <w:t>Mineral</w:t>
      </w:r>
      <w:r>
        <w:rPr>
          <w:b/>
          <w:bCs/>
          <w:sz w:val="28"/>
          <w:szCs w:val="28"/>
        </w:rPr>
        <w:t xml:space="preserve"> Rights Trading Session – Registration Guidelines</w:t>
      </w:r>
    </w:p>
    <w:p w14:paraId="5377E792">
      <w:pPr>
        <w:spacing w:after="160" w:line="278" w:lineRule="auto"/>
      </w:pPr>
      <w:r>
        <w:t xml:space="preserve">All participants must complete the Registration Form. Depending on their participation objectives and specific circumstances, participants must also complete the Participation Requirements Registration Form, relevant Letters of Authorization, Undertakings, Confidentiality Agreements, and other required documents. If any transactions are concluded following the conference, participants must complete the Transaction Information Feedback Form and submit it together with supporting documents to </w:t>
      </w:r>
      <w:r>
        <w:fldChar w:fldCharType="begin"/>
      </w:r>
      <w:r>
        <w:instrText xml:space="preserve"> HYPERLINK "mailto:zkl787@163.com" </w:instrText>
      </w:r>
      <w:r>
        <w:fldChar w:fldCharType="separate"/>
      </w:r>
      <w:r>
        <w:rPr>
          <w:rStyle w:val="23"/>
          <w:b/>
          <w:bCs/>
        </w:rPr>
        <w:t>zkl787@163.com</w:t>
      </w:r>
      <w:r>
        <w:rPr>
          <w:rStyle w:val="23"/>
          <w:b/>
          <w:bCs/>
        </w:rPr>
        <w:fldChar w:fldCharType="end"/>
      </w:r>
      <w:r>
        <w:t>.</w:t>
      </w:r>
    </w:p>
    <w:p w14:paraId="39FBAF8B">
      <w:pPr>
        <w:spacing w:after="160" w:line="278" w:lineRule="auto"/>
      </w:pPr>
      <w:r>
        <w:t>For any questions, participants may contact the conference coordinators at any time.</w:t>
      </w:r>
    </w:p>
    <w:p w14:paraId="078A49BB">
      <w:pPr>
        <w:spacing w:after="160" w:line="278" w:lineRule="auto"/>
      </w:pPr>
      <w:r>
        <w:t>The procedures and instructions are as follows:</w:t>
      </w:r>
    </w:p>
    <w:p w14:paraId="41C451D8">
      <w:pPr>
        <w:spacing w:after="160" w:line="278" w:lineRule="auto"/>
        <w:rPr>
          <w:b/>
          <w:bCs/>
        </w:rPr>
      </w:pPr>
      <w:r>
        <w:rPr>
          <w:b/>
          <w:bCs/>
        </w:rPr>
        <w:t>1. Download and Complete the Registration Form</w:t>
      </w:r>
    </w:p>
    <w:p w14:paraId="238492F4">
      <w:pPr>
        <w:spacing w:after="160" w:line="278" w:lineRule="auto"/>
      </w:pPr>
      <w:r>
        <w:t>Download and open the Registration Form (either complete it</w:t>
      </w:r>
      <w:r>
        <w:rPr>
          <w:b/>
          <w:bCs/>
        </w:rPr>
        <w:t xml:space="preserve"> electronically in Word format</w:t>
      </w:r>
      <w:r>
        <w:t xml:space="preserve"> or</w:t>
      </w:r>
      <w:r>
        <w:rPr>
          <w:b/>
          <w:bCs/>
        </w:rPr>
        <w:t xml:space="preserve"> print and fill it out by hand</w:t>
      </w:r>
      <w:r>
        <w:t>).</w:t>
      </w:r>
    </w:p>
    <w:p w14:paraId="7E9353AF">
      <w:pPr>
        <w:spacing w:after="160" w:line="278" w:lineRule="auto"/>
        <w:rPr>
          <w:b/>
          <w:bCs/>
        </w:rPr>
      </w:pPr>
      <w:r>
        <w:rPr>
          <w:b/>
          <w:bCs/>
        </w:rPr>
        <w:t>2. Complete Company Information Accurately</w:t>
      </w:r>
    </w:p>
    <w:tbl>
      <w:tblPr>
        <w:tblStyle w:val="19"/>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371"/>
      </w:tblGrid>
      <w:tr w14:paraId="09CA3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Borders>
              <w:top w:val="single" w:color="auto" w:sz="4" w:space="0"/>
              <w:left w:val="single" w:color="auto" w:sz="4" w:space="0"/>
              <w:bottom w:val="single" w:color="auto" w:sz="4" w:space="0"/>
              <w:right w:val="single" w:color="auto" w:sz="4" w:space="0"/>
            </w:tcBorders>
          </w:tcPr>
          <w:p w14:paraId="50771AE7">
            <w:pPr>
              <w:jc w:val="center"/>
              <w:rPr>
                <w:rFonts w:hint="default" w:ascii="方正仿宋_GB2312" w:hAnsi="方正仿宋_GB2312" w:eastAsia="方正仿宋_GB2312" w:cs="方正仿宋_GB2312"/>
                <w:sz w:val="28"/>
                <w:szCs w:val="28"/>
                <w:lang w:eastAsia="zh"/>
              </w:rPr>
            </w:pPr>
          </w:p>
        </w:tc>
        <w:tc>
          <w:tcPr>
            <w:tcW w:w="7371" w:type="dxa"/>
            <w:tcBorders>
              <w:top w:val="single" w:color="auto" w:sz="4" w:space="0"/>
              <w:left w:val="single" w:color="auto" w:sz="4" w:space="0"/>
              <w:bottom w:val="single" w:color="auto" w:sz="4" w:space="0"/>
              <w:right w:val="single" w:color="auto" w:sz="4" w:space="0"/>
            </w:tcBorders>
          </w:tcPr>
          <w:p w14:paraId="044FF081">
            <w:pPr>
              <w:jc w:val="center"/>
              <w:rPr>
                <w:rFonts w:hint="default" w:ascii="方正仿宋_GB2312" w:hAnsi="方正仿宋_GB2312" w:eastAsia="方正仿宋_GB2312" w:cs="方正仿宋_GB2312"/>
                <w:sz w:val="28"/>
                <w:szCs w:val="28"/>
              </w:rPr>
            </w:pPr>
            <w:r>
              <w:rPr>
                <w:rFonts w:hint="eastAsia"/>
                <w:b/>
                <w:bCs/>
              </w:rPr>
              <w:t>Instructions</w:t>
            </w:r>
          </w:p>
        </w:tc>
      </w:tr>
      <w:tr w14:paraId="6A6AE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Borders>
              <w:top w:val="single" w:color="auto" w:sz="4" w:space="0"/>
              <w:left w:val="single" w:color="auto" w:sz="4" w:space="0"/>
              <w:bottom w:val="single" w:color="auto" w:sz="4" w:space="0"/>
              <w:right w:val="single" w:color="auto" w:sz="4" w:space="0"/>
            </w:tcBorders>
          </w:tcPr>
          <w:p w14:paraId="2EA68A5B">
            <w:pPr>
              <w:jc w:val="center"/>
              <w:rPr>
                <w:rFonts w:hint="default" w:ascii="方正仿宋_GB2312" w:hAnsi="方正仿宋_GB2312" w:eastAsia="方正仿宋_GB2312" w:cs="方正仿宋_GB2312"/>
                <w:sz w:val="28"/>
                <w:szCs w:val="28"/>
              </w:rPr>
            </w:pPr>
            <w:r>
              <w:rPr>
                <w:rFonts w:hint="eastAsia"/>
              </w:rPr>
              <w:t>Company Name</w:t>
            </w:r>
          </w:p>
        </w:tc>
        <w:tc>
          <w:tcPr>
            <w:tcW w:w="7371" w:type="dxa"/>
            <w:tcBorders>
              <w:top w:val="single" w:color="auto" w:sz="4" w:space="0"/>
              <w:left w:val="single" w:color="auto" w:sz="4" w:space="0"/>
              <w:bottom w:val="single" w:color="auto" w:sz="4" w:space="0"/>
              <w:right w:val="single" w:color="auto" w:sz="4" w:space="0"/>
            </w:tcBorders>
            <w:vAlign w:val="center"/>
          </w:tcPr>
          <w:p w14:paraId="46168EA3">
            <w:pPr>
              <w:jc w:val="center"/>
              <w:rPr>
                <w:rFonts w:hint="default" w:ascii="方正仿宋_GB2312" w:hAnsi="方正仿宋_GB2312" w:eastAsia="方正仿宋_GB2312" w:cs="方正仿宋_GB2312"/>
                <w:sz w:val="28"/>
                <w:szCs w:val="28"/>
              </w:rPr>
            </w:pPr>
            <w:r>
              <w:rPr>
                <w:rFonts w:hint="eastAsia"/>
              </w:rPr>
              <w:t>Enter the full legal name as shown on the Business License.</w:t>
            </w:r>
          </w:p>
        </w:tc>
      </w:tr>
      <w:tr w14:paraId="34240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Borders>
              <w:top w:val="single" w:color="auto" w:sz="4" w:space="0"/>
              <w:left w:val="single" w:color="auto" w:sz="4" w:space="0"/>
              <w:bottom w:val="single" w:color="auto" w:sz="4" w:space="0"/>
              <w:right w:val="single" w:color="auto" w:sz="4" w:space="0"/>
            </w:tcBorders>
          </w:tcPr>
          <w:p w14:paraId="22D15B30">
            <w:pPr>
              <w:jc w:val="center"/>
              <w:rPr>
                <w:rFonts w:hint="default" w:ascii="方正仿宋_GB2312" w:hAnsi="方正仿宋_GB2312" w:eastAsia="方正仿宋_GB2312" w:cs="方正仿宋_GB2312"/>
                <w:sz w:val="28"/>
                <w:szCs w:val="28"/>
              </w:rPr>
            </w:pPr>
            <w:r>
              <w:rPr>
                <w:rFonts w:hint="eastAsia"/>
              </w:rPr>
              <w:t>Company Address</w:t>
            </w:r>
          </w:p>
        </w:tc>
        <w:tc>
          <w:tcPr>
            <w:tcW w:w="7371" w:type="dxa"/>
            <w:tcBorders>
              <w:top w:val="single" w:color="auto" w:sz="4" w:space="0"/>
              <w:left w:val="single" w:color="auto" w:sz="4" w:space="0"/>
              <w:bottom w:val="single" w:color="auto" w:sz="4" w:space="0"/>
              <w:right w:val="single" w:color="auto" w:sz="4" w:space="0"/>
            </w:tcBorders>
          </w:tcPr>
          <w:p w14:paraId="54A40A17">
            <w:pPr>
              <w:jc w:val="center"/>
              <w:rPr>
                <w:rFonts w:hint="default" w:ascii="方正仿宋_GB2312" w:hAnsi="方正仿宋_GB2312" w:eastAsia="方正仿宋_GB2312" w:cs="方正仿宋_GB2312"/>
                <w:sz w:val="28"/>
                <w:szCs w:val="28"/>
              </w:rPr>
            </w:pPr>
            <w:r>
              <w:rPr>
                <w:rFonts w:hint="eastAsia"/>
              </w:rPr>
              <w:t>Provide the complete address, including street number, for mailing purposes.</w:t>
            </w:r>
          </w:p>
        </w:tc>
      </w:tr>
      <w:tr w14:paraId="3D8A9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Borders>
              <w:top w:val="single" w:color="auto" w:sz="4" w:space="0"/>
              <w:left w:val="single" w:color="auto" w:sz="4" w:space="0"/>
              <w:bottom w:val="single" w:color="auto" w:sz="4" w:space="0"/>
              <w:right w:val="single" w:color="auto" w:sz="4" w:space="0"/>
            </w:tcBorders>
          </w:tcPr>
          <w:p w14:paraId="64A3413C">
            <w:pPr>
              <w:jc w:val="center"/>
              <w:rPr>
                <w:rFonts w:hint="default" w:ascii="方正仿宋_GB2312" w:hAnsi="方正仿宋_GB2312" w:eastAsia="方正仿宋_GB2312" w:cs="方正仿宋_GB2312"/>
                <w:sz w:val="28"/>
                <w:szCs w:val="28"/>
              </w:rPr>
            </w:pPr>
            <w:r>
              <w:rPr>
                <w:rFonts w:hint="eastAsia"/>
              </w:rPr>
              <w:t>Company Profile</w:t>
            </w:r>
          </w:p>
        </w:tc>
        <w:tc>
          <w:tcPr>
            <w:tcW w:w="7371" w:type="dxa"/>
            <w:tcBorders>
              <w:top w:val="single" w:color="auto" w:sz="4" w:space="0"/>
              <w:left w:val="single" w:color="auto" w:sz="4" w:space="0"/>
              <w:bottom w:val="single" w:color="auto" w:sz="4" w:space="0"/>
              <w:right w:val="single" w:color="auto" w:sz="4" w:space="0"/>
            </w:tcBorders>
          </w:tcPr>
          <w:p w14:paraId="65FCBC09">
            <w:pPr>
              <w:jc w:val="center"/>
              <w:rPr>
                <w:rFonts w:hint="default"/>
              </w:rPr>
            </w:pPr>
            <w:r>
              <w:rPr>
                <w:rFonts w:hint="eastAsia"/>
              </w:rPr>
              <w:t xml:space="preserve">Briefly describe business scope, registered capital, annual turnover, etc. </w:t>
            </w:r>
          </w:p>
          <w:p w14:paraId="660A8B30">
            <w:pPr>
              <w:jc w:val="center"/>
              <w:rPr>
                <w:rFonts w:hint="default" w:ascii="方正仿宋_GB2312" w:hAnsi="方正仿宋_GB2312" w:eastAsia="方正仿宋_GB2312" w:cs="方正仿宋_GB2312"/>
                <w:sz w:val="28"/>
                <w:szCs w:val="28"/>
              </w:rPr>
            </w:pPr>
            <w:r>
              <w:rPr>
                <w:rFonts w:hint="eastAsia"/>
              </w:rPr>
              <w:t>A detailed company profile may be attached separately.</w:t>
            </w:r>
          </w:p>
        </w:tc>
      </w:tr>
      <w:tr w14:paraId="1CC85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Borders>
              <w:top w:val="single" w:color="auto" w:sz="4" w:space="0"/>
              <w:left w:val="single" w:color="auto" w:sz="4" w:space="0"/>
              <w:bottom w:val="single" w:color="auto" w:sz="4" w:space="0"/>
              <w:right w:val="single" w:color="auto" w:sz="4" w:space="0"/>
            </w:tcBorders>
            <w:vAlign w:val="center"/>
          </w:tcPr>
          <w:p w14:paraId="098DF8F3">
            <w:pPr>
              <w:jc w:val="center"/>
              <w:rPr>
                <w:rFonts w:hint="default" w:ascii="方正仿宋_GB2312" w:hAnsi="方正仿宋_GB2312" w:eastAsia="方正仿宋_GB2312" w:cs="方正仿宋_GB2312"/>
                <w:sz w:val="28"/>
                <w:szCs w:val="28"/>
              </w:rPr>
            </w:pPr>
            <w:r>
              <w:rPr>
                <w:rFonts w:hint="eastAsia"/>
              </w:rPr>
              <w:t>Legal Representative</w:t>
            </w:r>
          </w:p>
        </w:tc>
        <w:tc>
          <w:tcPr>
            <w:tcW w:w="7371" w:type="dxa"/>
            <w:tcBorders>
              <w:top w:val="single" w:color="auto" w:sz="4" w:space="0"/>
              <w:left w:val="single" w:color="auto" w:sz="4" w:space="0"/>
              <w:bottom w:val="single" w:color="auto" w:sz="4" w:space="0"/>
              <w:right w:val="single" w:color="auto" w:sz="4" w:space="0"/>
            </w:tcBorders>
          </w:tcPr>
          <w:p w14:paraId="269427D1">
            <w:pPr>
              <w:jc w:val="center"/>
              <w:rPr>
                <w:rFonts w:hint="default" w:ascii="方正仿宋_GB2312" w:hAnsi="方正仿宋_GB2312" w:eastAsia="方正仿宋_GB2312" w:cs="方正仿宋_GB2312"/>
                <w:sz w:val="28"/>
                <w:szCs w:val="28"/>
              </w:rPr>
            </w:pPr>
            <w:r>
              <w:rPr>
                <w:rFonts w:hint="eastAsia"/>
              </w:rPr>
              <w:t>Enter the name of the legal representative registered on the Business License.</w:t>
            </w:r>
          </w:p>
        </w:tc>
      </w:tr>
    </w:tbl>
    <w:p w14:paraId="11DA89EB">
      <w:pPr>
        <w:spacing w:after="160" w:line="278" w:lineRule="auto"/>
      </w:pPr>
      <w:r>
        <w:rPr>
          <w:b/>
          <w:bCs/>
        </w:rPr>
        <w:t>Note:</w:t>
      </w:r>
      <w:r>
        <w:t xml:space="preserve"> The company profile should be concise. Key figures and important information should be highlighted or bolded where possible.</w:t>
      </w:r>
    </w:p>
    <w:p w14:paraId="55B1CAA7">
      <w:pPr>
        <w:spacing w:line="560" w:lineRule="exact"/>
        <w:ind w:firstLine="562" w:firstLineChars="200"/>
        <w:rPr>
          <w:rFonts w:ascii="方正仿宋_GB2312" w:hAnsi="方正仿宋_GB2312" w:eastAsia="方正仿宋_GB2312" w:cs="方正仿宋_GB2312"/>
          <w:b/>
          <w:bCs/>
          <w:sz w:val="28"/>
          <w:szCs w:val="28"/>
        </w:rPr>
      </w:pPr>
      <w:r>
        <w:rPr>
          <w:rFonts w:hint="eastAsia" w:ascii="仿宋" w:hAnsi="仿宋" w:eastAsia="仿宋" w:cs="仿宋"/>
          <w:b/>
          <w:bCs/>
          <w:sz w:val="28"/>
          <w:szCs w:val="28"/>
        </w:rPr>
        <w:t>3.</w:t>
      </w:r>
      <w:r>
        <w:rPr>
          <w:b/>
          <w:bCs/>
        </w:rPr>
        <w:t xml:space="preserve"> Complete Contact Information</w:t>
      </w:r>
    </w:p>
    <w:tbl>
      <w:tblPr>
        <w:tblStyle w:val="19"/>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371"/>
      </w:tblGrid>
      <w:tr w14:paraId="282A7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Borders>
              <w:top w:val="single" w:color="auto" w:sz="4" w:space="0"/>
              <w:left w:val="single" w:color="auto" w:sz="4" w:space="0"/>
              <w:bottom w:val="single" w:color="auto" w:sz="4" w:space="0"/>
              <w:right w:val="single" w:color="auto" w:sz="4" w:space="0"/>
            </w:tcBorders>
          </w:tcPr>
          <w:p w14:paraId="20B85DA2">
            <w:pPr>
              <w:jc w:val="center"/>
              <w:rPr>
                <w:rFonts w:hint="default" w:ascii="方正仿宋_GB2312" w:hAnsi="方正仿宋_GB2312" w:eastAsia="方正仿宋_GB2312" w:cs="方正仿宋_GB2312"/>
                <w:sz w:val="28"/>
                <w:szCs w:val="28"/>
              </w:rPr>
            </w:pPr>
          </w:p>
        </w:tc>
        <w:tc>
          <w:tcPr>
            <w:tcW w:w="7371" w:type="dxa"/>
            <w:tcBorders>
              <w:top w:val="single" w:color="auto" w:sz="4" w:space="0"/>
              <w:left w:val="single" w:color="auto" w:sz="4" w:space="0"/>
              <w:bottom w:val="single" w:color="auto" w:sz="4" w:space="0"/>
              <w:right w:val="single" w:color="auto" w:sz="4" w:space="0"/>
            </w:tcBorders>
          </w:tcPr>
          <w:p w14:paraId="5BECD815">
            <w:pPr>
              <w:jc w:val="center"/>
              <w:rPr>
                <w:rFonts w:hint="default" w:ascii="方正仿宋_GB2312" w:hAnsi="方正仿宋_GB2312" w:eastAsia="方正仿宋_GB2312" w:cs="方正仿宋_GB2312"/>
                <w:sz w:val="28"/>
                <w:szCs w:val="28"/>
              </w:rPr>
            </w:pPr>
            <w:r>
              <w:rPr>
                <w:rFonts w:hint="eastAsia"/>
                <w:b/>
                <w:bCs/>
              </w:rPr>
              <w:t>Instructions</w:t>
            </w:r>
          </w:p>
        </w:tc>
      </w:tr>
      <w:tr w14:paraId="0FBF9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Borders>
              <w:top w:val="single" w:color="auto" w:sz="4" w:space="0"/>
              <w:left w:val="single" w:color="auto" w:sz="4" w:space="0"/>
              <w:bottom w:val="single" w:color="auto" w:sz="4" w:space="0"/>
              <w:right w:val="single" w:color="auto" w:sz="4" w:space="0"/>
            </w:tcBorders>
          </w:tcPr>
          <w:p w14:paraId="00CB818B">
            <w:pPr>
              <w:jc w:val="center"/>
              <w:rPr>
                <w:rFonts w:hint="default" w:ascii="方正仿宋_GB2312" w:hAnsi="方正仿宋_GB2312" w:eastAsia="方正仿宋_GB2312" w:cs="方正仿宋_GB2312"/>
                <w:sz w:val="28"/>
                <w:szCs w:val="28"/>
              </w:rPr>
            </w:pPr>
            <w:r>
              <w:rPr>
                <w:rFonts w:hint="eastAsia"/>
              </w:rPr>
              <w:t>Contact Person</w:t>
            </w:r>
          </w:p>
        </w:tc>
        <w:tc>
          <w:tcPr>
            <w:tcW w:w="7371" w:type="dxa"/>
            <w:tcBorders>
              <w:top w:val="single" w:color="auto" w:sz="4" w:space="0"/>
              <w:left w:val="single" w:color="auto" w:sz="4" w:space="0"/>
              <w:bottom w:val="single" w:color="auto" w:sz="4" w:space="0"/>
              <w:right w:val="single" w:color="auto" w:sz="4" w:space="0"/>
            </w:tcBorders>
          </w:tcPr>
          <w:p w14:paraId="1A357469">
            <w:pPr>
              <w:jc w:val="center"/>
              <w:rPr>
                <w:rFonts w:hint="default" w:ascii="方正仿宋_GB2312" w:hAnsi="方正仿宋_GB2312" w:eastAsia="方正仿宋_GB2312" w:cs="方正仿宋_GB2312"/>
                <w:sz w:val="28"/>
                <w:szCs w:val="28"/>
              </w:rPr>
            </w:pPr>
            <w:r>
              <w:rPr>
                <w:rFonts w:hint="eastAsia"/>
              </w:rPr>
              <w:t>Name of the person responsible for conference coordination.</w:t>
            </w:r>
          </w:p>
        </w:tc>
      </w:tr>
      <w:tr w14:paraId="69D1B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Borders>
              <w:top w:val="single" w:color="auto" w:sz="4" w:space="0"/>
              <w:left w:val="single" w:color="auto" w:sz="4" w:space="0"/>
              <w:bottom w:val="single" w:color="auto" w:sz="4" w:space="0"/>
              <w:right w:val="single" w:color="auto" w:sz="4" w:space="0"/>
            </w:tcBorders>
          </w:tcPr>
          <w:p w14:paraId="44BCEA5B">
            <w:pPr>
              <w:jc w:val="center"/>
              <w:rPr>
                <w:rFonts w:hint="default" w:ascii="方正仿宋_GB2312" w:hAnsi="方正仿宋_GB2312" w:eastAsia="方正仿宋_GB2312" w:cs="方正仿宋_GB2312"/>
                <w:sz w:val="28"/>
                <w:szCs w:val="28"/>
              </w:rPr>
            </w:pPr>
            <w:r>
              <w:rPr>
                <w:rFonts w:hint="eastAsia"/>
              </w:rPr>
              <w:t>Department</w:t>
            </w:r>
          </w:p>
        </w:tc>
        <w:tc>
          <w:tcPr>
            <w:tcW w:w="7371" w:type="dxa"/>
            <w:tcBorders>
              <w:top w:val="single" w:color="auto" w:sz="4" w:space="0"/>
              <w:left w:val="single" w:color="auto" w:sz="4" w:space="0"/>
              <w:bottom w:val="single" w:color="auto" w:sz="4" w:space="0"/>
              <w:right w:val="single" w:color="auto" w:sz="4" w:space="0"/>
            </w:tcBorders>
          </w:tcPr>
          <w:p w14:paraId="1E778262">
            <w:pPr>
              <w:jc w:val="center"/>
              <w:rPr>
                <w:rFonts w:hint="default" w:ascii="方正仿宋_GB2312" w:hAnsi="方正仿宋_GB2312" w:eastAsia="方正仿宋_GB2312" w:cs="方正仿宋_GB2312"/>
                <w:sz w:val="28"/>
                <w:szCs w:val="28"/>
              </w:rPr>
            </w:pPr>
            <w:r>
              <w:rPr>
                <w:rFonts w:hint="eastAsia"/>
              </w:rPr>
              <w:t>For example: Marketing Department, Mineral Rights Department, Executive Office, etc.</w:t>
            </w:r>
          </w:p>
        </w:tc>
      </w:tr>
      <w:tr w14:paraId="66426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Borders>
              <w:top w:val="single" w:color="auto" w:sz="4" w:space="0"/>
              <w:left w:val="single" w:color="auto" w:sz="4" w:space="0"/>
              <w:bottom w:val="single" w:color="auto" w:sz="4" w:space="0"/>
              <w:right w:val="single" w:color="auto" w:sz="4" w:space="0"/>
            </w:tcBorders>
            <w:vAlign w:val="center"/>
          </w:tcPr>
          <w:p w14:paraId="2DB9C971">
            <w:pPr>
              <w:jc w:val="center"/>
              <w:rPr>
                <w:rFonts w:hint="default" w:ascii="方正仿宋_GB2312" w:hAnsi="方正仿宋_GB2312" w:eastAsia="方正仿宋_GB2312" w:cs="方正仿宋_GB2312"/>
                <w:sz w:val="28"/>
                <w:szCs w:val="28"/>
              </w:rPr>
            </w:pPr>
            <w:r>
              <w:rPr>
                <w:rFonts w:hint="eastAsia"/>
              </w:rPr>
              <w:t>Mobile Phone</w:t>
            </w:r>
          </w:p>
        </w:tc>
        <w:tc>
          <w:tcPr>
            <w:tcW w:w="7371" w:type="dxa"/>
            <w:tcBorders>
              <w:top w:val="single" w:color="auto" w:sz="4" w:space="0"/>
              <w:left w:val="single" w:color="auto" w:sz="4" w:space="0"/>
              <w:bottom w:val="single" w:color="auto" w:sz="4" w:space="0"/>
              <w:right w:val="single" w:color="auto" w:sz="4" w:space="0"/>
            </w:tcBorders>
            <w:vAlign w:val="center"/>
          </w:tcPr>
          <w:p w14:paraId="4B71C293">
            <w:pPr>
              <w:jc w:val="center"/>
              <w:rPr>
                <w:rFonts w:hint="default" w:ascii="方正仿宋_GB2312" w:hAnsi="方正仿宋_GB2312" w:eastAsia="方正仿宋_GB2312" w:cs="方正仿宋_GB2312"/>
                <w:sz w:val="28"/>
                <w:szCs w:val="28"/>
              </w:rPr>
            </w:pPr>
            <w:r>
              <w:rPr>
                <w:rFonts w:hint="eastAsia"/>
              </w:rPr>
              <w:t>Must remain available to receive conference notices.</w:t>
            </w:r>
          </w:p>
        </w:tc>
      </w:tr>
      <w:tr w14:paraId="27B51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838" w:type="dxa"/>
            <w:tcBorders>
              <w:top w:val="single" w:color="auto" w:sz="4" w:space="0"/>
              <w:left w:val="single" w:color="auto" w:sz="4" w:space="0"/>
              <w:bottom w:val="single" w:color="auto" w:sz="4" w:space="0"/>
              <w:right w:val="single" w:color="auto" w:sz="4" w:space="0"/>
            </w:tcBorders>
          </w:tcPr>
          <w:p w14:paraId="1CC41367">
            <w:pPr>
              <w:jc w:val="center"/>
              <w:rPr>
                <w:rFonts w:hint="default" w:ascii="方正仿宋_GB2312" w:hAnsi="方正仿宋_GB2312" w:eastAsia="方正仿宋_GB2312" w:cs="方正仿宋_GB2312"/>
                <w:sz w:val="28"/>
                <w:szCs w:val="28"/>
              </w:rPr>
            </w:pPr>
            <w:r>
              <w:rPr>
                <w:rFonts w:hint="eastAsia"/>
              </w:rPr>
              <w:t>Office Telephone</w:t>
            </w:r>
          </w:p>
        </w:tc>
        <w:tc>
          <w:tcPr>
            <w:tcW w:w="7371" w:type="dxa"/>
            <w:tcBorders>
              <w:top w:val="single" w:color="auto" w:sz="4" w:space="0"/>
              <w:left w:val="single" w:color="auto" w:sz="4" w:space="0"/>
              <w:bottom w:val="single" w:color="auto" w:sz="4" w:space="0"/>
              <w:right w:val="single" w:color="auto" w:sz="4" w:space="0"/>
            </w:tcBorders>
          </w:tcPr>
          <w:p w14:paraId="29291270">
            <w:pPr>
              <w:jc w:val="center"/>
              <w:rPr>
                <w:rFonts w:hint="default" w:ascii="方正仿宋_GB2312" w:hAnsi="方正仿宋_GB2312" w:eastAsia="方正仿宋_GB2312" w:cs="方正仿宋_GB2312"/>
                <w:sz w:val="28"/>
                <w:szCs w:val="28"/>
              </w:rPr>
            </w:pPr>
            <w:r>
              <w:rPr>
                <w:rFonts w:hint="eastAsia"/>
              </w:rPr>
              <w:t>Recommended as a backup contact number.</w:t>
            </w:r>
          </w:p>
        </w:tc>
      </w:tr>
      <w:tr w14:paraId="58906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838" w:type="dxa"/>
            <w:tcBorders>
              <w:top w:val="single" w:color="auto" w:sz="4" w:space="0"/>
              <w:left w:val="single" w:color="auto" w:sz="4" w:space="0"/>
              <w:bottom w:val="single" w:color="auto" w:sz="4" w:space="0"/>
              <w:right w:val="single" w:color="auto" w:sz="4" w:space="0"/>
            </w:tcBorders>
          </w:tcPr>
          <w:p w14:paraId="69918A35">
            <w:pPr>
              <w:jc w:val="center"/>
              <w:rPr>
                <w:rFonts w:hint="default" w:ascii="方正仿宋_GB2312" w:hAnsi="方正仿宋_GB2312" w:eastAsia="方正仿宋_GB2312" w:cs="方正仿宋_GB2312"/>
                <w:sz w:val="28"/>
                <w:szCs w:val="28"/>
              </w:rPr>
            </w:pPr>
            <w:r>
              <w:rPr>
                <w:rFonts w:hint="eastAsia"/>
              </w:rPr>
              <w:t>Email Address</w:t>
            </w:r>
          </w:p>
        </w:tc>
        <w:tc>
          <w:tcPr>
            <w:tcW w:w="7371" w:type="dxa"/>
            <w:tcBorders>
              <w:top w:val="single" w:color="auto" w:sz="4" w:space="0"/>
              <w:left w:val="single" w:color="auto" w:sz="4" w:space="0"/>
              <w:bottom w:val="single" w:color="auto" w:sz="4" w:space="0"/>
              <w:right w:val="single" w:color="auto" w:sz="4" w:space="0"/>
            </w:tcBorders>
          </w:tcPr>
          <w:p w14:paraId="0F700C31">
            <w:pPr>
              <w:jc w:val="center"/>
              <w:rPr>
                <w:rFonts w:hint="default" w:ascii="方正仿宋_GB2312" w:hAnsi="方正仿宋_GB2312" w:eastAsia="方正仿宋_GB2312" w:cs="方正仿宋_GB2312"/>
                <w:sz w:val="28"/>
                <w:szCs w:val="28"/>
              </w:rPr>
            </w:pPr>
            <w:r>
              <w:rPr>
                <w:rFonts w:hint="eastAsia"/>
              </w:rPr>
              <w:t>Used for receiving confirmation letters, agendas, and other conference documents.</w:t>
            </w:r>
          </w:p>
        </w:tc>
      </w:tr>
      <w:tr w14:paraId="70D6A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838" w:type="dxa"/>
            <w:tcBorders>
              <w:top w:val="single" w:color="auto" w:sz="4" w:space="0"/>
              <w:left w:val="single" w:color="auto" w:sz="4" w:space="0"/>
              <w:bottom w:val="single" w:color="auto" w:sz="4" w:space="0"/>
              <w:right w:val="single" w:color="auto" w:sz="4" w:space="0"/>
            </w:tcBorders>
          </w:tcPr>
          <w:p w14:paraId="37CE1558">
            <w:pPr>
              <w:jc w:val="center"/>
              <w:rPr>
                <w:rFonts w:hint="default" w:ascii="方正仿宋_GB2312" w:hAnsi="方正仿宋_GB2312" w:eastAsia="方正仿宋_GB2312" w:cs="方正仿宋_GB2312"/>
                <w:sz w:val="28"/>
                <w:szCs w:val="28"/>
              </w:rPr>
            </w:pPr>
            <w:r>
              <w:rPr>
                <w:rFonts w:hint="eastAsia"/>
              </w:rPr>
              <w:t>Fax</w:t>
            </w:r>
          </w:p>
        </w:tc>
        <w:tc>
          <w:tcPr>
            <w:tcW w:w="7371" w:type="dxa"/>
            <w:tcBorders>
              <w:top w:val="single" w:color="auto" w:sz="4" w:space="0"/>
              <w:left w:val="single" w:color="auto" w:sz="4" w:space="0"/>
              <w:bottom w:val="single" w:color="auto" w:sz="4" w:space="0"/>
              <w:right w:val="single" w:color="auto" w:sz="4" w:space="0"/>
            </w:tcBorders>
          </w:tcPr>
          <w:p w14:paraId="7815A137">
            <w:pPr>
              <w:jc w:val="center"/>
              <w:rPr>
                <w:rFonts w:hint="default" w:ascii="方正仿宋_GB2312" w:hAnsi="方正仿宋_GB2312" w:eastAsia="方正仿宋_GB2312" w:cs="方正仿宋_GB2312"/>
                <w:sz w:val="28"/>
                <w:szCs w:val="28"/>
              </w:rPr>
            </w:pPr>
            <w:r>
              <w:rPr>
                <w:rFonts w:hint="eastAsia"/>
              </w:rPr>
              <w:t>If unavailable, enter "/"</w:t>
            </w:r>
          </w:p>
        </w:tc>
      </w:tr>
    </w:tbl>
    <w:p w14:paraId="0419DE7C">
      <w:pPr>
        <w:spacing w:after="160" w:line="278" w:lineRule="auto"/>
        <w:rPr>
          <w:b/>
          <w:bCs/>
        </w:rPr>
      </w:pPr>
      <w:r>
        <w:rPr>
          <w:rFonts w:hint="eastAsia" w:ascii="仿宋" w:hAnsi="仿宋" w:eastAsia="仿宋" w:cs="仿宋"/>
          <w:b/>
          <w:bCs/>
          <w:sz w:val="28"/>
          <w:szCs w:val="28"/>
        </w:rPr>
        <w:t>4.</w:t>
      </w:r>
      <w:r>
        <w:rPr>
          <w:b/>
          <w:bCs/>
        </w:rPr>
        <w:t xml:space="preserve"> Select Participation Objectives (Multiple Selections Permitted)</w:t>
      </w:r>
    </w:p>
    <w:p w14:paraId="4984C04E">
      <w:pPr>
        <w:spacing w:after="160" w:line="278" w:lineRule="auto"/>
      </w:pPr>
      <w:r>
        <w:t>Tick "</w:t>
      </w:r>
      <w:r>
        <w:rPr>
          <w:rFonts w:ascii="Segoe UI Symbol" w:hAnsi="Segoe UI Symbol" w:cs="Segoe UI Symbol"/>
        </w:rPr>
        <w:t>✓</w:t>
      </w:r>
      <w:r>
        <w:t>" in the appropriate boxes.</w:t>
      </w:r>
    </w:p>
    <w:p w14:paraId="04D25C9C">
      <w:pPr>
        <w:spacing w:after="160" w:line="278" w:lineRule="auto"/>
      </w:pPr>
      <w:r>
        <w:rPr>
          <w:i/>
          <w:iCs/>
        </w:rPr>
        <w:t>(Multiple selections may be made according to actual requirements. The organizer will arrange matchmaking and networking activities based on the selected categories.)</w:t>
      </w:r>
    </w:p>
    <w:p w14:paraId="15379235">
      <w:pPr>
        <w:spacing w:after="160" w:line="278" w:lineRule="auto"/>
      </w:pPr>
      <w:r>
        <w:rPr>
          <w:rFonts w:ascii="Segoe UI Symbol" w:hAnsi="Segoe UI Symbol" w:cs="Segoe UI Symbol"/>
        </w:rPr>
        <w:t>☐</w:t>
      </w:r>
      <w:r>
        <w:t xml:space="preserve"> </w:t>
      </w:r>
      <w:r>
        <w:rPr>
          <w:b/>
          <w:bCs/>
        </w:rPr>
        <w:t>Investor</w:t>
      </w:r>
      <w:r>
        <w:t xml:space="preserve"> – Seeking mining projects or cooperation opportunities.</w:t>
      </w:r>
    </w:p>
    <w:p w14:paraId="0FF0C450">
      <w:pPr>
        <w:spacing w:after="160" w:line="278" w:lineRule="auto"/>
      </w:pPr>
      <w:r>
        <w:rPr>
          <w:rFonts w:ascii="Segoe UI Symbol" w:hAnsi="Segoe UI Symbol" w:cs="Segoe UI Symbol"/>
        </w:rPr>
        <w:t>☐</w:t>
      </w:r>
      <w:r>
        <w:t xml:space="preserve"> </w:t>
      </w:r>
      <w:r>
        <w:rPr>
          <w:b/>
          <w:bCs/>
        </w:rPr>
        <w:t>Min</w:t>
      </w:r>
      <w:r>
        <w:rPr>
          <w:rFonts w:hint="eastAsia"/>
          <w:b/>
          <w:bCs/>
          <w:lang w:val="en-US" w:eastAsia="zh-CN"/>
        </w:rPr>
        <w:t>eral</w:t>
      </w:r>
      <w:r>
        <w:rPr>
          <w:b/>
          <w:bCs/>
        </w:rPr>
        <w:t xml:space="preserve"> Rights</w:t>
      </w:r>
      <w:r>
        <w:t xml:space="preserve"> – Intending to </w:t>
      </w:r>
      <w:r>
        <w:rPr>
          <w:rFonts w:hint="eastAsia"/>
        </w:rPr>
        <w:t>exploration rights</w:t>
      </w:r>
      <w:r>
        <w:t xml:space="preserve"> or </w:t>
      </w:r>
      <w:r>
        <w:rPr>
          <w:rFonts w:hint="eastAsia"/>
        </w:rPr>
        <w:t>min</w:t>
      </w:r>
      <w:r>
        <w:rPr>
          <w:rFonts w:hint="eastAsia"/>
          <w:lang w:val="en-US" w:eastAsia="zh-CN"/>
        </w:rPr>
        <w:t>ing</w:t>
      </w:r>
      <w:r>
        <w:t xml:space="preserve"> rights, or seeking exploration and development partners.</w:t>
      </w:r>
    </w:p>
    <w:p w14:paraId="22A7E85D">
      <w:pPr>
        <w:spacing w:after="160" w:line="278" w:lineRule="auto"/>
      </w:pPr>
      <w:r>
        <w:rPr>
          <w:rFonts w:ascii="Segoe UI Symbol" w:hAnsi="Segoe UI Symbol" w:cs="Segoe UI Symbol"/>
        </w:rPr>
        <w:t>☐</w:t>
      </w:r>
      <w:r>
        <w:t xml:space="preserve"> </w:t>
      </w:r>
      <w:r>
        <w:rPr>
          <w:b/>
          <w:bCs/>
        </w:rPr>
        <w:t>Equity Interests</w:t>
      </w:r>
      <w:r>
        <w:t xml:space="preserve"> – Transfer or acquisition of shares in mining companies or project revenue rights.</w:t>
      </w:r>
    </w:p>
    <w:p w14:paraId="1E89ED36">
      <w:pPr>
        <w:spacing w:after="160" w:line="278" w:lineRule="auto"/>
      </w:pPr>
      <w:r>
        <w:rPr>
          <w:rFonts w:ascii="Segoe UI Symbol" w:hAnsi="Segoe UI Symbol" w:cs="Segoe UI Symbol"/>
        </w:rPr>
        <w:t>☐</w:t>
      </w:r>
      <w:r>
        <w:t xml:space="preserve"> </w:t>
      </w:r>
      <w:r>
        <w:rPr>
          <w:b/>
          <w:bCs/>
        </w:rPr>
        <w:t>Mineral Products</w:t>
      </w:r>
      <w:r>
        <w:rPr>
          <w:rFonts w:hint="eastAsia"/>
          <w:b/>
          <w:bCs/>
          <w:lang w:val="en-US" w:eastAsia="zh-CN"/>
        </w:rPr>
        <w:t>,Machinery</w:t>
      </w:r>
      <w:r>
        <w:rPr>
          <w:rFonts w:hint="eastAsia"/>
          <w:b/>
          <w:bCs/>
        </w:rPr>
        <w:t xml:space="preserve"> and equipment</w:t>
      </w:r>
      <w:r>
        <w:t xml:space="preserve"> – Trading of mineral products, equipment sales, leasing, or cooperation.</w:t>
      </w:r>
    </w:p>
    <w:p w14:paraId="2C5DF7A7">
      <w:pPr>
        <w:spacing w:after="160" w:line="278" w:lineRule="auto"/>
      </w:pPr>
      <w:r>
        <w:rPr>
          <w:rFonts w:ascii="Segoe UI Symbol" w:hAnsi="Segoe UI Symbol" w:cs="Segoe UI Symbol"/>
        </w:rPr>
        <w:t>☐</w:t>
      </w:r>
      <w:r>
        <w:t xml:space="preserve"> </w:t>
      </w:r>
      <w:r>
        <w:rPr>
          <w:b/>
          <w:bCs/>
        </w:rPr>
        <w:t>Technology, Engineering and Other Mining Services</w:t>
      </w:r>
      <w:r>
        <w:t xml:space="preserve"> – Providing technical, engineering, consulting, or related services.</w:t>
      </w:r>
    </w:p>
    <w:p w14:paraId="2BF27CA3">
      <w:pPr>
        <w:spacing w:after="160" w:line="278" w:lineRule="auto"/>
      </w:pPr>
      <w:r>
        <w:rPr>
          <w:rFonts w:ascii="Segoe UI Symbol" w:hAnsi="Segoe UI Symbol" w:cs="Segoe UI Symbol"/>
        </w:rPr>
        <w:t>☐</w:t>
      </w:r>
      <w:r>
        <w:t xml:space="preserve"> </w:t>
      </w:r>
      <w:r>
        <w:rPr>
          <w:b/>
          <w:bCs/>
        </w:rPr>
        <w:t>Other</w:t>
      </w:r>
      <w:r>
        <w:t xml:space="preserve"> – Please specify briefly (e.g., M&amp;A advisory services, financing services, etc.).</w:t>
      </w:r>
    </w:p>
    <w:p w14:paraId="10A4512F">
      <w:pPr>
        <w:spacing w:after="160" w:line="278" w:lineRule="auto"/>
      </w:pPr>
      <w:r>
        <w:t xml:space="preserve">Participants should complete the relevant </w:t>
      </w:r>
      <w:r>
        <w:rPr>
          <w:b/>
          <w:bCs/>
        </w:rPr>
        <w:t>Participation Requirements Registration Form</w:t>
      </w:r>
      <w:r>
        <w:t xml:space="preserve"> according to their needs (see Section 11). Details are available on the conference website, including:</w:t>
      </w:r>
    </w:p>
    <w:p w14:paraId="0ACB34FF">
      <w:pPr>
        <w:widowControl/>
        <w:numPr>
          <w:ilvl w:val="0"/>
          <w:numId w:val="1"/>
        </w:numPr>
        <w:spacing w:after="160" w:line="278" w:lineRule="auto"/>
        <w:jc w:val="left"/>
      </w:pPr>
      <w:r>
        <w:t>Investor Participation Requirements Registration Form</w:t>
      </w:r>
    </w:p>
    <w:p w14:paraId="30BCC19A">
      <w:pPr>
        <w:widowControl/>
        <w:numPr>
          <w:ilvl w:val="0"/>
          <w:numId w:val="1"/>
        </w:numPr>
        <w:spacing w:after="160" w:line="278" w:lineRule="auto"/>
        <w:jc w:val="left"/>
      </w:pPr>
      <w:r>
        <w:t>Mining Right Holder Participation Requirements Registration Form</w:t>
      </w:r>
    </w:p>
    <w:p w14:paraId="545BF5CE">
      <w:pPr>
        <w:widowControl/>
        <w:numPr>
          <w:ilvl w:val="0"/>
          <w:numId w:val="1"/>
        </w:numPr>
        <w:spacing w:after="160" w:line="278" w:lineRule="auto"/>
        <w:jc w:val="left"/>
      </w:pPr>
      <w:r>
        <w:t>Exploration Right Holder Participation Requirements Registration Form</w:t>
      </w:r>
    </w:p>
    <w:p w14:paraId="66F1B6E7">
      <w:pPr>
        <w:widowControl/>
        <w:numPr>
          <w:ilvl w:val="0"/>
          <w:numId w:val="1"/>
        </w:numPr>
        <w:spacing w:after="160" w:line="278" w:lineRule="auto"/>
        <w:jc w:val="left"/>
      </w:pPr>
      <w:r>
        <w:t>Mineral Products Supply and Demand Registration Form</w:t>
      </w:r>
    </w:p>
    <w:p w14:paraId="6202984E">
      <w:pPr>
        <w:widowControl/>
        <w:numPr>
          <w:ilvl w:val="0"/>
          <w:numId w:val="1"/>
        </w:numPr>
        <w:spacing w:after="160" w:line="278" w:lineRule="auto"/>
        <w:jc w:val="left"/>
      </w:pPr>
      <w:r>
        <w:t>Mining Machinery and Equipment Supply and Demand Registration Form</w:t>
      </w:r>
    </w:p>
    <w:p w14:paraId="1899C0C1">
      <w:pPr>
        <w:widowControl/>
        <w:numPr>
          <w:ilvl w:val="0"/>
          <w:numId w:val="1"/>
        </w:numPr>
        <w:spacing w:after="160" w:line="278" w:lineRule="auto"/>
        <w:jc w:val="left"/>
      </w:pPr>
      <w:r>
        <w:t>Equity or Financing Cooperation Registration Form</w:t>
      </w:r>
    </w:p>
    <w:p w14:paraId="5D846C7A">
      <w:pPr>
        <w:widowControl/>
        <w:numPr>
          <w:ilvl w:val="0"/>
          <w:numId w:val="1"/>
        </w:numPr>
        <w:spacing w:after="160" w:line="278" w:lineRule="auto"/>
        <w:jc w:val="left"/>
      </w:pPr>
      <w:r>
        <w:t>Technical Services and Consulting Registration Form</w:t>
      </w:r>
    </w:p>
    <w:p w14:paraId="3C425F49">
      <w:pPr>
        <w:spacing w:after="160" w:line="278" w:lineRule="auto"/>
      </w:pPr>
      <w:r>
        <w:t>Participants with special requirements should also complete Letters of Authorization, Undertakings, Confidentiality Agreements, etc. (see Section 12).</w:t>
      </w:r>
    </w:p>
    <w:p w14:paraId="594E3AA0">
      <w:pPr>
        <w:spacing w:after="160" w:line="278" w:lineRule="auto"/>
      </w:pPr>
      <w:r>
        <w:t>These forms should be submitted together with the Registration Form and will be used to determine specific participation requirements and transaction arrangements.</w:t>
      </w:r>
    </w:p>
    <w:p w14:paraId="1B4800C0">
      <w:pPr>
        <w:spacing w:after="160" w:line="278" w:lineRule="auto"/>
        <w:rPr>
          <w:b/>
          <w:bCs/>
        </w:rPr>
      </w:pPr>
      <w:r>
        <w:rPr>
          <w:b/>
          <w:bCs/>
        </w:rPr>
        <w:t>5. Select Preferred Transaction Method</w:t>
      </w:r>
    </w:p>
    <w:p w14:paraId="34518824">
      <w:pPr>
        <w:spacing w:after="160" w:line="278" w:lineRule="auto"/>
      </w:pPr>
      <w:r>
        <w:rPr>
          <w:i/>
          <w:iCs/>
        </w:rPr>
        <w:t>(Single selection, multiple selections, or no selection permitted)</w:t>
      </w:r>
    </w:p>
    <w:p w14:paraId="36E08982">
      <w:pPr>
        <w:spacing w:after="160" w:line="278" w:lineRule="auto"/>
      </w:pPr>
      <w:r>
        <w:rPr>
          <w:rFonts w:ascii="Segoe UI Symbol" w:hAnsi="Segoe UI Symbol" w:cs="Segoe UI Symbol"/>
        </w:rPr>
        <w:t>☐</w:t>
      </w:r>
      <w:r>
        <w:t xml:space="preserve"> </w:t>
      </w:r>
      <w:r>
        <w:rPr>
          <w:rFonts w:hint="eastAsia"/>
        </w:rPr>
        <w:t>Independent Negotiation</w:t>
      </w:r>
    </w:p>
    <w:p w14:paraId="5F0819CD">
      <w:pPr>
        <w:spacing w:after="160" w:line="278" w:lineRule="auto"/>
      </w:pPr>
      <w:r>
        <w:rPr>
          <w:rFonts w:ascii="Segoe UI Symbol" w:hAnsi="Segoe UI Symbol" w:cs="Segoe UI Symbol"/>
        </w:rPr>
        <w:t>☐</w:t>
      </w:r>
      <w:r>
        <w:t xml:space="preserve"> </w:t>
      </w:r>
      <w:r>
        <w:rPr>
          <w:rFonts w:hint="eastAsia"/>
        </w:rPr>
        <w:t>Commissioned Competitive Trading</w:t>
      </w:r>
    </w:p>
    <w:p w14:paraId="54D2C043">
      <w:pPr>
        <w:spacing w:after="160" w:line="278" w:lineRule="auto"/>
      </w:pPr>
      <w:r>
        <w:rPr>
          <w:rFonts w:ascii="Segoe UI Symbol" w:hAnsi="Segoe UI Symbol" w:cs="Segoe UI Symbol"/>
        </w:rPr>
        <w:t>☐</w:t>
      </w:r>
      <w:r>
        <w:t xml:space="preserve"> Targeted Matchmaking</w:t>
      </w:r>
    </w:p>
    <w:p w14:paraId="3426AEAB">
      <w:pPr>
        <w:spacing w:after="160" w:line="278" w:lineRule="auto"/>
      </w:pPr>
      <w:r>
        <w:rPr>
          <w:rFonts w:ascii="Segoe UI Symbol" w:hAnsi="Segoe UI Symbol" w:cs="Segoe UI Symbol"/>
        </w:rPr>
        <w:t>☐</w:t>
      </w:r>
      <w:r>
        <w:t xml:space="preserve"> Exclusive Negotiation</w:t>
      </w:r>
    </w:p>
    <w:p w14:paraId="4B07B847">
      <w:pPr>
        <w:spacing w:after="160" w:line="278" w:lineRule="auto"/>
      </w:pPr>
      <w:r>
        <w:rPr>
          <w:rFonts w:ascii="Segoe UI Symbol" w:hAnsi="Segoe UI Symbol" w:cs="Segoe UI Symbol"/>
        </w:rPr>
        <w:t>☐</w:t>
      </w:r>
      <w:r>
        <w:t xml:space="preserve"> Other</w:t>
      </w:r>
    </w:p>
    <w:p w14:paraId="260DFC20">
      <w:pPr>
        <w:spacing w:after="160" w:line="278" w:lineRule="auto"/>
      </w:pPr>
      <w:r>
        <w:rPr>
          <w:rFonts w:hint="eastAsia"/>
          <w:b/>
          <w:bCs/>
        </w:rPr>
        <w:t>Independent Negotiation</w:t>
      </w:r>
    </w:p>
    <w:p w14:paraId="41BF40A0">
      <w:pPr>
        <w:spacing w:after="160" w:line="278" w:lineRule="auto"/>
      </w:pPr>
      <w:r>
        <w:t>Participants independently contact, negotiate, and reach transaction intentions or agreements with other participants during the conference or exhibition period. The organizer provides only display, information publication, and venue support and does not participate in negotiations.</w:t>
      </w:r>
    </w:p>
    <w:p w14:paraId="65A17EE3">
      <w:pPr>
        <w:spacing w:after="160" w:line="278" w:lineRule="auto"/>
      </w:pPr>
      <w:r>
        <w:rPr>
          <w:rFonts w:hint="eastAsia"/>
          <w:b/>
          <w:bCs/>
        </w:rPr>
        <w:t>Commissioned Competitive Trading</w:t>
      </w:r>
    </w:p>
    <w:p w14:paraId="00731ABA">
      <w:pPr>
        <w:spacing w:after="160" w:line="278" w:lineRule="auto"/>
      </w:pPr>
      <w:r>
        <w:t>Where required by law or participant preference, the organizer conducts transactions through public competitive methods such as auctions, tenders, or listings via the conference trading platform to determine transaction counterparties and negotiate transaction terms.</w:t>
      </w:r>
    </w:p>
    <w:p w14:paraId="5AD4F562">
      <w:pPr>
        <w:spacing w:after="160" w:line="278" w:lineRule="auto"/>
      </w:pPr>
      <w:r>
        <w:t>The following situations require an entrusted competitive process:</w:t>
      </w:r>
    </w:p>
    <w:p w14:paraId="36D6AA10">
      <w:pPr>
        <w:widowControl/>
        <w:numPr>
          <w:ilvl w:val="0"/>
          <w:numId w:val="2"/>
        </w:numPr>
        <w:spacing w:after="160" w:line="278" w:lineRule="auto"/>
        <w:jc w:val="left"/>
      </w:pPr>
      <w:r>
        <w:t>State-owned mining rights, equity interests, or other state-owned assets that must be publicly transferred under applicable laws and regulations.</w:t>
      </w:r>
    </w:p>
    <w:p w14:paraId="6446F79C">
      <w:pPr>
        <w:widowControl/>
        <w:numPr>
          <w:ilvl w:val="0"/>
          <w:numId w:val="2"/>
        </w:numPr>
        <w:spacing w:after="160" w:line="278" w:lineRule="auto"/>
        <w:jc w:val="left"/>
      </w:pPr>
      <w:r>
        <w:t>Cases where the transferor specifically requires a competitive process.</w:t>
      </w:r>
    </w:p>
    <w:p w14:paraId="119606AC">
      <w:pPr>
        <w:widowControl/>
        <w:numPr>
          <w:ilvl w:val="0"/>
          <w:numId w:val="2"/>
        </w:numPr>
        <w:spacing w:after="160" w:line="278" w:lineRule="auto"/>
        <w:jc w:val="left"/>
      </w:pPr>
      <w:r>
        <w:t>Cases where two or more qualified interested parties emerge during the information disclosure period.</w:t>
      </w:r>
    </w:p>
    <w:p w14:paraId="438AB6A5">
      <w:pPr>
        <w:spacing w:after="160" w:line="278" w:lineRule="auto"/>
      </w:pPr>
      <w:r>
        <w:t>Detailed provisions are contained in the:</w:t>
      </w:r>
    </w:p>
    <w:p w14:paraId="3B8DC0B1">
      <w:pPr>
        <w:spacing w:after="160" w:line="278" w:lineRule="auto"/>
      </w:pPr>
      <w:r>
        <w:rPr>
          <w:b/>
          <w:bCs/>
        </w:rPr>
        <w:t xml:space="preserve">"Implementation Rules for </w:t>
      </w:r>
      <w:r>
        <w:rPr>
          <w:rFonts w:hint="eastAsia"/>
          <w:b/>
          <w:bCs/>
        </w:rPr>
        <w:t>Commissioned Competitive Trading</w:t>
      </w:r>
      <w:r>
        <w:rPr>
          <w:b/>
          <w:bCs/>
        </w:rPr>
        <w:t xml:space="preserve"> of the Min</w:t>
      </w:r>
      <w:r>
        <w:rPr>
          <w:rFonts w:hint="eastAsia"/>
          <w:b/>
          <w:bCs/>
          <w:lang w:val="en-US" w:eastAsia="zh-CN"/>
        </w:rPr>
        <w:t>eral</w:t>
      </w:r>
      <w:r>
        <w:rPr>
          <w:b/>
          <w:bCs/>
        </w:rPr>
        <w:t xml:space="preserve"> Rights Trading Market at the 2026 (28th) China Mining Conference and </w:t>
      </w:r>
      <w:r>
        <w:rPr>
          <w:rFonts w:hint="eastAsia"/>
          <w:b/>
          <w:bCs/>
        </w:rPr>
        <w:t>Exhibition</w:t>
      </w:r>
      <w:r>
        <w:rPr>
          <w:b/>
          <w:bCs/>
        </w:rPr>
        <w:t>"</w:t>
      </w:r>
    </w:p>
    <w:p w14:paraId="48261D98">
      <w:pPr>
        <w:spacing w:after="160" w:line="278" w:lineRule="auto"/>
        <w:rPr>
          <w:b/>
          <w:bCs/>
        </w:rPr>
      </w:pPr>
      <w:r>
        <w:rPr>
          <w:b/>
          <w:bCs/>
        </w:rPr>
        <w:t>Targeted Matchmaking</w:t>
      </w:r>
    </w:p>
    <w:p w14:paraId="794A1B25">
      <w:pPr>
        <w:spacing w:after="160" w:line="278" w:lineRule="auto"/>
      </w:pPr>
      <w:r>
        <w:t>The organizer utilizes its buyer resources and information channels to identify and match suitable potential counterparties for the client and facilitates transactions through information verification, introductions, and negotiation support.</w:t>
      </w:r>
    </w:p>
    <w:p w14:paraId="2B004CDC">
      <w:pPr>
        <w:spacing w:after="160" w:line="278" w:lineRule="auto"/>
        <w:rPr>
          <w:b/>
          <w:bCs/>
        </w:rPr>
      </w:pPr>
      <w:r>
        <w:rPr>
          <w:b/>
          <w:bCs/>
        </w:rPr>
        <w:t>Exclusive Negotiation</w:t>
      </w:r>
    </w:p>
    <w:p w14:paraId="4591557C">
      <w:pPr>
        <w:spacing w:after="160" w:line="278" w:lineRule="auto"/>
      </w:pPr>
      <w:r>
        <w:t>The transferor grants one prospective party exclusive rights to conduct detailed negotiations regarding a specific transaction opportunity during an agreed exclusivity period. During this period, the transferor will not negotiate with other parties, while the prospective party commits resources to due diligence and commercial negotiations.</w:t>
      </w:r>
    </w:p>
    <w:p w14:paraId="73894D69">
      <w:pPr>
        <w:spacing w:after="160" w:line="278" w:lineRule="auto"/>
        <w:rPr>
          <w:b/>
          <w:bCs/>
        </w:rPr>
      </w:pPr>
      <w:r>
        <w:rPr>
          <w:b/>
          <w:bCs/>
        </w:rPr>
        <w:t>Other</w:t>
      </w:r>
    </w:p>
    <w:p w14:paraId="756BAD67">
      <w:pPr>
        <w:spacing w:after="160" w:line="278" w:lineRule="auto"/>
      </w:pPr>
      <w:r>
        <w:t>Any transaction method not covered above.</w:t>
      </w:r>
    </w:p>
    <w:p w14:paraId="25E0FAE5">
      <w:pPr>
        <w:spacing w:after="160" w:line="278" w:lineRule="auto"/>
        <w:rPr>
          <w:b/>
          <w:bCs/>
        </w:rPr>
      </w:pPr>
      <w:r>
        <w:rPr>
          <w:b/>
          <w:bCs/>
        </w:rPr>
        <w:t>6. Select Exhibition Display Requirements</w:t>
      </w:r>
    </w:p>
    <w:p w14:paraId="1568B9F7">
      <w:pPr>
        <w:spacing w:line="560" w:lineRule="exact"/>
      </w:pPr>
      <w:r>
        <w:t>Display boards can be used to showcase your company’s image and project information at the event; costs will be confirmed separately and can be arranged as required.</w:t>
      </w:r>
    </w:p>
    <w:p w14:paraId="2DE80A74">
      <w:pPr>
        <w:spacing w:after="160" w:line="278" w:lineRule="auto"/>
      </w:pPr>
      <w:r>
        <w:rPr>
          <w:rFonts w:ascii="Segoe UI Symbol" w:hAnsi="Segoe UI Symbol" w:cs="Segoe UI Symbol"/>
        </w:rPr>
        <w:t>☐</w:t>
      </w:r>
      <w:r>
        <w:t xml:space="preserve"> </w:t>
      </w:r>
      <w:r>
        <w:rPr>
          <w:b/>
          <w:bCs/>
        </w:rPr>
        <w:t>Required</w:t>
      </w:r>
    </w:p>
    <w:p w14:paraId="39E5C973">
      <w:pPr>
        <w:spacing w:after="160" w:line="278" w:lineRule="auto"/>
      </w:pPr>
      <w:r>
        <w:t>The organizer will provide information regarding display board specifications and fees.</w:t>
      </w:r>
    </w:p>
    <w:p w14:paraId="3F6E1B4B">
      <w:pPr>
        <w:widowControl/>
        <w:numPr>
          <w:ilvl w:val="0"/>
          <w:numId w:val="3"/>
        </w:numPr>
        <w:spacing w:after="160" w:line="278" w:lineRule="auto"/>
        <w:jc w:val="left"/>
      </w:pPr>
      <w:r>
        <w:t>Display board size: 2.0m × 2.0m (printed format)</w:t>
      </w:r>
    </w:p>
    <w:p w14:paraId="7E19CFE7">
      <w:pPr>
        <w:widowControl/>
        <w:numPr>
          <w:ilvl w:val="0"/>
          <w:numId w:val="3"/>
        </w:numPr>
        <w:spacing w:after="160" w:line="278" w:lineRule="auto"/>
        <w:jc w:val="left"/>
      </w:pPr>
      <w:r>
        <w:t>Participants may choose the number of display boards required.</w:t>
      </w:r>
    </w:p>
    <w:p w14:paraId="3F49D1F2">
      <w:pPr>
        <w:widowControl/>
        <w:numPr>
          <w:ilvl w:val="0"/>
          <w:numId w:val="3"/>
        </w:numPr>
        <w:spacing w:after="160" w:line="278" w:lineRule="auto"/>
        <w:jc w:val="left"/>
      </w:pPr>
      <w:r>
        <w:t>Fees will be charged accordingly.</w:t>
      </w:r>
    </w:p>
    <w:p w14:paraId="0E0802AA">
      <w:pPr>
        <w:widowControl/>
        <w:numPr>
          <w:ilvl w:val="0"/>
          <w:numId w:val="3"/>
        </w:numPr>
        <w:spacing w:after="160" w:line="278" w:lineRule="auto"/>
        <w:jc w:val="left"/>
      </w:pPr>
      <w:r>
        <w:t>Exhibition hall arrangements and fee schedules will be announced separately.</w:t>
      </w:r>
    </w:p>
    <w:p w14:paraId="645AEDC0">
      <w:pPr>
        <w:spacing w:after="160" w:line="278" w:lineRule="auto"/>
      </w:pPr>
      <w:r>
        <w:rPr>
          <w:rFonts w:ascii="Segoe UI Symbol" w:hAnsi="Segoe UI Symbol" w:cs="Segoe UI Symbol"/>
        </w:rPr>
        <w:t>☐</w:t>
      </w:r>
      <w:r>
        <w:t xml:space="preserve"> </w:t>
      </w:r>
      <w:r>
        <w:rPr>
          <w:b/>
          <w:bCs/>
        </w:rPr>
        <w:t>Not Required</w:t>
      </w:r>
    </w:p>
    <w:p w14:paraId="0C21B23A">
      <w:pPr>
        <w:spacing w:after="160" w:line="278" w:lineRule="auto"/>
      </w:pPr>
      <w:r>
        <w:t>No display board service will be provided.</w:t>
      </w:r>
    </w:p>
    <w:p w14:paraId="470500C6">
      <w:pPr>
        <w:spacing w:after="160" w:line="278" w:lineRule="auto"/>
        <w:rPr>
          <w:b/>
          <w:bCs/>
        </w:rPr>
      </w:pPr>
      <w:r>
        <w:rPr>
          <w:b/>
          <w:bCs/>
        </w:rPr>
        <w:t>7. Select Project Presentation Requirements</w:t>
      </w:r>
    </w:p>
    <w:p w14:paraId="25FB7FED">
      <w:pPr>
        <w:spacing w:after="160" w:line="278" w:lineRule="auto"/>
      </w:pPr>
      <w:r>
        <w:t>Project presentations allow authorized representatives to present supply and demand opportunities using PowerPoint or similar formats within a designated time slot.</w:t>
      </w:r>
    </w:p>
    <w:p w14:paraId="3C677254">
      <w:pPr>
        <w:spacing w:after="160" w:line="278" w:lineRule="auto"/>
      </w:pPr>
      <w:r>
        <w:t>This service is particularly beneficial for organizations with specific min</w:t>
      </w:r>
      <w:r>
        <w:rPr>
          <w:rFonts w:hint="eastAsia"/>
          <w:lang w:val="en-US" w:eastAsia="zh-CN"/>
        </w:rPr>
        <w:t>eral</w:t>
      </w:r>
      <w:r>
        <w:t xml:space="preserve"> rights, equity, or technology opportunities to promote.</w:t>
      </w:r>
    </w:p>
    <w:p w14:paraId="03BF16DE">
      <w:pPr>
        <w:spacing w:after="160" w:line="278" w:lineRule="auto"/>
      </w:pPr>
      <w:r>
        <w:t>A project presentation involves authorized representatives of buyers and sellers taking to the stage to present the key details of their supply or demand to attendees within a specified time limit (the exact duration will be announced in due course), typically using PowerPoint presentations or similar formats. Organizations with specific mining rights, equity interests or technology to offer can use this opportunity to raise their profile and increase their chances of securing a deal.</w:t>
      </w:r>
    </w:p>
    <w:p w14:paraId="2E75B713">
      <w:pPr>
        <w:spacing w:after="160" w:line="278" w:lineRule="auto"/>
      </w:pPr>
      <w:r>
        <w:rPr>
          <w:rFonts w:ascii="Segoe UI Symbol" w:hAnsi="Segoe UI Symbol" w:cs="Segoe UI Symbol"/>
        </w:rPr>
        <w:t>☐</w:t>
      </w:r>
      <w:r>
        <w:t xml:space="preserve"> </w:t>
      </w:r>
      <w:r>
        <w:rPr>
          <w:b/>
          <w:bCs/>
        </w:rPr>
        <w:t>Required</w:t>
      </w:r>
    </w:p>
    <w:p w14:paraId="3B903EA9">
      <w:pPr>
        <w:spacing w:after="160" w:line="279" w:lineRule="auto"/>
      </w:pPr>
      <w:r>
        <w:t>Please tick ‘Required’. Depending on the specific details of your project and the purpose of your attendance, please prepare your own presentation materials. You will be required to deliver a presentation using PowerPoint or similar software, outlining the key aspects of your project within the allotted time, with a view to facilitating the smooth progress of subsequent negotiations and transactions. The organizers will provide further details regarding the presentation format, timing and fees in due course.</w:t>
      </w:r>
    </w:p>
    <w:p w14:paraId="5CA12C23">
      <w:pPr>
        <w:spacing w:after="160" w:line="278" w:lineRule="auto"/>
      </w:pPr>
      <w:r>
        <w:rPr>
          <w:rFonts w:ascii="Segoe UI Symbol" w:hAnsi="Segoe UI Symbol" w:cs="Segoe UI Symbol"/>
        </w:rPr>
        <w:t>☐</w:t>
      </w:r>
      <w:r>
        <w:t xml:space="preserve"> </w:t>
      </w:r>
      <w:r>
        <w:rPr>
          <w:b/>
          <w:bCs/>
        </w:rPr>
        <w:t>Not Required</w:t>
      </w:r>
    </w:p>
    <w:p w14:paraId="2566E4F5">
      <w:pPr>
        <w:spacing w:after="160" w:line="278" w:lineRule="auto"/>
      </w:pPr>
      <w:r>
        <w:t>Tick ‘Not required’ to indicate that you do not wish to present your project.</w:t>
      </w:r>
    </w:p>
    <w:p w14:paraId="56C3977B">
      <w:pPr>
        <w:spacing w:after="160" w:line="278" w:lineRule="auto"/>
        <w:rPr>
          <w:b/>
          <w:bCs/>
        </w:rPr>
      </w:pPr>
      <w:r>
        <w:rPr>
          <w:b/>
          <w:bCs/>
        </w:rPr>
        <w:t>8. Review and Sign</w:t>
      </w:r>
    </w:p>
    <w:p w14:paraId="28973223">
      <w:pPr>
        <w:spacing w:after="160" w:line="278" w:lineRule="auto"/>
      </w:pPr>
      <w:r>
        <w:t>Confirm that all information provided is true, accurate, and complete.</w:t>
      </w:r>
    </w:p>
    <w:p w14:paraId="4B6B3B23">
      <w:pPr>
        <w:spacing w:after="160" w:line="278" w:lineRule="auto"/>
      </w:pPr>
      <w:r>
        <w:t>Participants are encouraged to:</w:t>
      </w:r>
    </w:p>
    <w:p w14:paraId="6BC8800F">
      <w:pPr>
        <w:widowControl/>
        <w:numPr>
          <w:ilvl w:val="0"/>
          <w:numId w:val="4"/>
        </w:numPr>
        <w:spacing w:after="160" w:line="278" w:lineRule="auto"/>
        <w:jc w:val="left"/>
      </w:pPr>
      <w:r>
        <w:t>Affix the company seal; or</w:t>
      </w:r>
    </w:p>
    <w:p w14:paraId="05E5B132">
      <w:pPr>
        <w:widowControl/>
        <w:numPr>
          <w:ilvl w:val="0"/>
          <w:numId w:val="4"/>
        </w:numPr>
        <w:spacing w:after="160" w:line="278" w:lineRule="auto"/>
        <w:jc w:val="left"/>
      </w:pPr>
      <w:r>
        <w:t>Have the contact person sign the form.</w:t>
      </w:r>
    </w:p>
    <w:p w14:paraId="57CB7473">
      <w:pPr>
        <w:spacing w:after="160" w:line="278" w:lineRule="auto"/>
      </w:pPr>
      <w:r>
        <w:t>For electronic forms:</w:t>
      </w:r>
    </w:p>
    <w:p w14:paraId="333F3CD7">
      <w:pPr>
        <w:widowControl/>
        <w:numPr>
          <w:ilvl w:val="0"/>
          <w:numId w:val="5"/>
        </w:numPr>
        <w:spacing w:after="160" w:line="278" w:lineRule="auto"/>
        <w:jc w:val="left"/>
      </w:pPr>
      <w:r>
        <w:t>Complete the form electronically;</w:t>
      </w:r>
    </w:p>
    <w:p w14:paraId="1C0DCE83">
      <w:pPr>
        <w:widowControl/>
        <w:numPr>
          <w:ilvl w:val="0"/>
          <w:numId w:val="5"/>
        </w:numPr>
        <w:spacing w:after="160" w:line="278" w:lineRule="auto"/>
        <w:jc w:val="left"/>
      </w:pPr>
      <w:r>
        <w:t>Print and affix the company seal;</w:t>
      </w:r>
    </w:p>
    <w:p w14:paraId="58B8393A">
      <w:pPr>
        <w:widowControl/>
        <w:numPr>
          <w:ilvl w:val="0"/>
          <w:numId w:val="5"/>
        </w:numPr>
        <w:spacing w:after="160" w:line="278" w:lineRule="auto"/>
        <w:jc w:val="left"/>
      </w:pPr>
      <w:r>
        <w:t>Scan and submit.</w:t>
      </w:r>
    </w:p>
    <w:p w14:paraId="70AC1ED1">
      <w:pPr>
        <w:spacing w:after="160" w:line="278" w:lineRule="auto"/>
        <w:rPr>
          <w:b/>
          <w:bCs/>
        </w:rPr>
      </w:pPr>
      <w:r>
        <w:rPr>
          <w:b/>
          <w:bCs/>
        </w:rPr>
        <w:t>9. Submit Registration Materials</w:t>
      </w:r>
    </w:p>
    <w:p w14:paraId="16271CA2">
      <w:pPr>
        <w:spacing w:after="160" w:line="278" w:lineRule="auto"/>
      </w:pPr>
      <w:r>
        <w:t>Send the completed Registration Form (Word version or scanned copy) together with all supporting electronic materials (e.g., company brochures, PowerPoint presentations, registration forms, etc.) to:</w:t>
      </w:r>
    </w:p>
    <w:p w14:paraId="758236A9">
      <w:pPr>
        <w:pStyle w:val="46"/>
        <w:numPr>
          <w:ilvl w:val="0"/>
          <w:numId w:val="5"/>
        </w:numPr>
        <w:spacing w:after="160" w:line="278" w:lineRule="auto"/>
      </w:pPr>
      <w:r>
        <w:rPr>
          <w:b/>
          <w:bCs/>
        </w:rPr>
        <w:t>Email:</w:t>
      </w:r>
      <w:r>
        <w:t xml:space="preserve"> </w:t>
      </w:r>
      <w:r>
        <w:fldChar w:fldCharType="begin"/>
      </w:r>
      <w:r>
        <w:instrText xml:space="preserve"> HYPERLINK "mailto:zkl787@163.com" </w:instrText>
      </w:r>
      <w:r>
        <w:fldChar w:fldCharType="separate"/>
      </w:r>
      <w:r>
        <w:rPr>
          <w:rStyle w:val="23"/>
        </w:rPr>
        <w:t>zkl787@163.com</w:t>
      </w:r>
      <w:r>
        <w:rPr>
          <w:rStyle w:val="23"/>
        </w:rPr>
        <w:fldChar w:fldCharType="end"/>
      </w:r>
    </w:p>
    <w:p w14:paraId="1F77D9FF">
      <w:pPr>
        <w:spacing w:after="160" w:line="278" w:lineRule="auto"/>
        <w:rPr>
          <w:b/>
          <w:bCs/>
        </w:rPr>
      </w:pPr>
      <w:r>
        <w:rPr>
          <w:b/>
          <w:bCs/>
        </w:rPr>
        <w:t>Suggested Email Subject Format</w:t>
      </w:r>
    </w:p>
    <w:p w14:paraId="53F2D4FE">
      <w:pPr>
        <w:pStyle w:val="46"/>
        <w:numPr>
          <w:ilvl w:val="0"/>
          <w:numId w:val="5"/>
        </w:numPr>
        <w:spacing w:after="160" w:line="278" w:lineRule="auto"/>
      </w:pPr>
      <w:r>
        <w:rPr>
          <w:b/>
          <w:bCs/>
        </w:rPr>
        <w:t>[Company Name] Registration Form – Participation Objective</w:t>
      </w:r>
      <w:r>
        <w:br w:type="textWrapping"/>
      </w:r>
      <w:r>
        <w:t xml:space="preserve">(e.g., </w:t>
      </w:r>
      <w:r>
        <w:rPr>
          <w:rFonts w:hint="eastAsia"/>
        </w:rPr>
        <w:t>Mineral</w:t>
      </w:r>
      <w:r>
        <w:t xml:space="preserve"> Rights Transfer)</w:t>
      </w:r>
    </w:p>
    <w:p w14:paraId="5F6945CE">
      <w:pPr>
        <w:spacing w:after="160" w:line="278" w:lineRule="auto"/>
        <w:ind w:firstLine="420" w:firstLineChars="200"/>
      </w:pPr>
      <w:r>
        <w:t>Once you have sent your submission, please contact the conference secretariat to confirm receipt. Contact details can be found under ‘Other important information.</w:t>
      </w:r>
    </w:p>
    <w:p w14:paraId="214D188A">
      <w:pPr>
        <w:spacing w:after="160" w:line="278" w:lineRule="auto"/>
        <w:rPr>
          <w:b/>
          <w:bCs/>
        </w:rPr>
      </w:pPr>
      <w:r>
        <w:rPr>
          <w:b/>
          <w:bCs/>
        </w:rPr>
        <w:t>10. Important Notes</w:t>
      </w:r>
    </w:p>
    <w:p w14:paraId="08CE6B7D">
      <w:pPr>
        <w:widowControl/>
        <w:tabs>
          <w:tab w:val="left" w:pos="720"/>
        </w:tabs>
        <w:spacing w:after="160" w:line="278" w:lineRule="auto"/>
        <w:jc w:val="left"/>
      </w:pPr>
      <w:r>
        <w:t xml:space="preserve">If display boards or project presentations are required, the corresponding option must be selected. Failure to do so will be deemed as non-participation in those activities. Presentation sessions are currently planned to be approximately </w:t>
      </w:r>
      <w:r>
        <w:rPr>
          <w:b/>
          <w:bCs/>
        </w:rPr>
        <w:t>10 minutes per session</w:t>
      </w:r>
      <w:r>
        <w:t>.</w:t>
      </w:r>
    </w:p>
    <w:p w14:paraId="56175075">
      <w:pPr>
        <w:widowControl/>
        <w:spacing w:after="160" w:line="278" w:lineRule="auto"/>
        <w:jc w:val="left"/>
      </w:pPr>
      <w:r>
        <w:t>Mining investments involve risks related to resources, commodity prices, regulations, and policy changes. Participants should conduct appropriate due diligence and make prudent decisions.</w:t>
      </w:r>
    </w:p>
    <w:p w14:paraId="33BECAAC">
      <w:pPr>
        <w:spacing w:after="160" w:line="278" w:lineRule="auto"/>
      </w:pPr>
      <w:r>
        <w:rPr>
          <w:b/>
          <w:bCs/>
        </w:rPr>
        <w:t xml:space="preserve">11. Prepare the Following Electronic Materials </w:t>
      </w:r>
      <w:r>
        <w:rPr>
          <w:i/>
          <w:iCs/>
        </w:rPr>
        <w:t>(To be submitted together with the Registration Form)</w:t>
      </w:r>
    </w:p>
    <w:p w14:paraId="3021E071">
      <w:pPr>
        <w:spacing w:after="160" w:line="278" w:lineRule="auto"/>
        <w:rPr>
          <w:rFonts w:ascii="仿宋" w:hAnsi="仿宋" w:eastAsia="仿宋" w:cs="仿宋"/>
          <w:sz w:val="28"/>
          <w:szCs w:val="28"/>
        </w:rPr>
      </w:pPr>
      <w:r>
        <w:rPr>
          <w:rFonts w:hint="eastAsia" w:ascii="仿宋" w:hAnsi="仿宋" w:eastAsia="仿宋" w:cs="仿宋"/>
          <w:sz w:val="28"/>
          <w:szCs w:val="28"/>
        </w:rPr>
        <w:t>①</w:t>
      </w:r>
      <w:r>
        <w:rPr>
          <w:b/>
          <w:bCs/>
        </w:rPr>
        <w:t xml:space="preserve">Participation Requirements Registration Forms, </w:t>
      </w:r>
      <w:r>
        <w:t>Complete the relevant form(s) according to your participation objectives:</w:t>
      </w:r>
    </w:p>
    <w:p w14:paraId="57987B14">
      <w:pPr>
        <w:spacing w:after="160" w:line="278" w:lineRule="auto"/>
      </w:pPr>
      <w:r>
        <w:t>A. Investor Participation Requirements Registration Form</w:t>
      </w:r>
    </w:p>
    <w:p w14:paraId="0FB68DCD">
      <w:pPr>
        <w:spacing w:after="160" w:line="278" w:lineRule="auto"/>
      </w:pPr>
      <w:r>
        <w:t>B. Mining Right Holder Participation Requirements Registration Form</w:t>
      </w:r>
    </w:p>
    <w:p w14:paraId="696ABBA6">
      <w:pPr>
        <w:spacing w:after="160" w:line="278" w:lineRule="auto"/>
      </w:pPr>
      <w:r>
        <w:t>C. Exploration Right Holder Participation Requirements Registration Form</w:t>
      </w:r>
    </w:p>
    <w:p w14:paraId="3EADC8C4">
      <w:pPr>
        <w:spacing w:after="160" w:line="278" w:lineRule="auto"/>
      </w:pPr>
      <w:r>
        <w:t>D. Mineral Products Supply and Demand Registration Form</w:t>
      </w:r>
    </w:p>
    <w:p w14:paraId="2BFBCB8A">
      <w:pPr>
        <w:spacing w:after="160" w:line="278" w:lineRule="auto"/>
      </w:pPr>
      <w:r>
        <w:t>E. Mining Machinery and Equipment Supply and Demand Registration Form</w:t>
      </w:r>
    </w:p>
    <w:p w14:paraId="75BC39C8">
      <w:pPr>
        <w:spacing w:after="160" w:line="278" w:lineRule="auto"/>
      </w:pPr>
      <w:r>
        <w:t>F. Equity or Financing Cooperation Registration Form</w:t>
      </w:r>
    </w:p>
    <w:p w14:paraId="5101A6E4">
      <w:pPr>
        <w:spacing w:after="160" w:line="278" w:lineRule="auto"/>
      </w:pPr>
      <w:r>
        <w:t>G. Technical Services and Consulting Registration Form</w:t>
      </w:r>
    </w:p>
    <w:p w14:paraId="3D09246A">
      <w:pPr>
        <w:widowControl/>
        <w:tabs>
          <w:tab w:val="left" w:pos="720"/>
        </w:tabs>
        <w:spacing w:after="160" w:line="278" w:lineRule="auto"/>
        <w:jc w:val="left"/>
      </w:pPr>
      <w:r>
        <w:rPr>
          <w:rFonts w:hint="eastAsia" w:ascii="仿宋" w:hAnsi="仿宋" w:eastAsia="仿宋" w:cs="仿宋"/>
          <w:sz w:val="28"/>
          <w:szCs w:val="28"/>
        </w:rPr>
        <w:t>②</w:t>
      </w:r>
      <w:r>
        <w:t>Business License; Mining Rights Certificates; Operating Permits and Qualifications and Other relevant participation documents</w:t>
      </w:r>
    </w:p>
    <w:p w14:paraId="632B448D">
      <w:pPr>
        <w:spacing w:after="160" w:line="278" w:lineRule="auto"/>
      </w:pPr>
      <w:r>
        <w:rPr>
          <w:rFonts w:hint="eastAsia" w:ascii="仿宋" w:hAnsi="仿宋" w:eastAsia="仿宋" w:cs="仿宋"/>
          <w:sz w:val="28"/>
          <w:szCs w:val="28"/>
        </w:rPr>
        <w:t>③</w:t>
      </w:r>
      <w:r>
        <w:rPr>
          <w:b/>
          <w:bCs/>
        </w:rPr>
        <w:t xml:space="preserve">Project Presentation PPT </w:t>
      </w:r>
      <w:r>
        <w:rPr>
          <w:i/>
          <w:iCs/>
        </w:rPr>
        <w:t>(Only required if selecting the Project Presentation Service.)</w:t>
      </w:r>
    </w:p>
    <w:p w14:paraId="14633523">
      <w:pPr>
        <w:spacing w:after="160" w:line="278" w:lineRule="auto"/>
        <w:rPr>
          <w:rFonts w:ascii="仿宋" w:hAnsi="仿宋" w:eastAsia="仿宋" w:cs="仿宋"/>
          <w:b/>
          <w:bCs/>
          <w:sz w:val="28"/>
          <w:szCs w:val="28"/>
        </w:rPr>
      </w:pPr>
      <w:r>
        <w:rPr>
          <w:rFonts w:hint="eastAsia" w:ascii="仿宋" w:hAnsi="仿宋" w:eastAsia="仿宋" w:cs="仿宋"/>
          <w:sz w:val="28"/>
          <w:szCs w:val="28"/>
        </w:rPr>
        <w:t>④</w:t>
      </w:r>
      <w:r>
        <w:rPr>
          <w:b/>
          <w:bCs/>
        </w:rPr>
        <w:t>Other Materials</w:t>
      </w:r>
      <w:r>
        <w:rPr>
          <w:rFonts w:hint="eastAsia" w:ascii="仿宋" w:hAnsi="仿宋" w:eastAsia="仿宋" w:cs="仿宋"/>
          <w:sz w:val="28"/>
          <w:szCs w:val="28"/>
        </w:rPr>
        <w:t>，</w:t>
      </w:r>
      <w:r>
        <w:t>If you wish to showcase your organization, products or services, please submit the relevant digital materials in accordance with the specified requirements and deadlines.</w:t>
      </w:r>
    </w:p>
    <w:p w14:paraId="147FF495">
      <w:pPr>
        <w:spacing w:after="160" w:line="278" w:lineRule="auto"/>
        <w:jc w:val="left"/>
        <w:rPr>
          <w:b/>
          <w:bCs/>
        </w:rPr>
      </w:pPr>
      <w:r>
        <w:rPr>
          <w:b/>
          <w:bCs/>
        </w:rPr>
        <w:t xml:space="preserve">12. Targeted Matchmaking, </w:t>
      </w:r>
      <w:r>
        <w:rPr>
          <w:rFonts w:hint="eastAsia"/>
          <w:b/>
          <w:bCs/>
        </w:rPr>
        <w:t>Commissioned Competitive Trading</w:t>
      </w:r>
      <w:r>
        <w:rPr>
          <w:b/>
          <w:bCs/>
        </w:rPr>
        <w:t xml:space="preserve"> and Exclusive Negotiations</w:t>
      </w:r>
    </w:p>
    <w:p w14:paraId="3CFA48B2">
      <w:pPr>
        <w:spacing w:after="160" w:line="278" w:lineRule="auto"/>
        <w:ind w:firstLine="420" w:firstLineChars="200"/>
      </w:pPr>
      <w:r>
        <w:t>Participants requiring the above due diligence services should complete the relevant forms, such as the letter of authorization, undertaking and confidentiality agreement, and contact the conference organizers without delay.</w:t>
      </w:r>
    </w:p>
    <w:p w14:paraId="1EE3EEC8">
      <w:pPr>
        <w:spacing w:after="160" w:line="278" w:lineRule="auto"/>
        <w:rPr>
          <w:b/>
          <w:bCs/>
        </w:rPr>
      </w:pPr>
      <w:r>
        <w:rPr>
          <w:b/>
          <w:bCs/>
        </w:rPr>
        <w:t>Contact Information</w:t>
      </w:r>
    </w:p>
    <w:p w14:paraId="294C2EDF">
      <w:pPr>
        <w:spacing w:after="160" w:line="278" w:lineRule="auto"/>
      </w:pPr>
      <w:r>
        <w:rPr>
          <w:b/>
          <w:bCs/>
        </w:rPr>
        <w:t>Email:</w:t>
      </w:r>
      <w:r>
        <w:t xml:space="preserve"> </w:t>
      </w:r>
      <w:r>
        <w:fldChar w:fldCharType="begin"/>
      </w:r>
      <w:r>
        <w:instrText xml:space="preserve"> HYPERLINK "mailto:zkl787@163.com" </w:instrText>
      </w:r>
      <w:r>
        <w:fldChar w:fldCharType="separate"/>
      </w:r>
      <w:r>
        <w:rPr>
          <w:rStyle w:val="23"/>
        </w:rPr>
        <w:t>zkl787@163.com</w:t>
      </w:r>
      <w:r>
        <w:rPr>
          <w:rStyle w:val="23"/>
        </w:rPr>
        <w:fldChar w:fldCharType="end"/>
      </w:r>
    </w:p>
    <w:p w14:paraId="6AAEEE09">
      <w:pPr>
        <w:spacing w:after="160" w:line="278" w:lineRule="auto"/>
      </w:pPr>
      <w:r>
        <w:rPr>
          <w:b/>
          <w:bCs/>
        </w:rPr>
        <w:t>Tang Xiaoqian</w:t>
      </w:r>
      <w:r>
        <w:br w:type="textWrapping"/>
      </w:r>
      <w:r>
        <w:t>Mobile: +86 138 1033 5414</w:t>
      </w:r>
    </w:p>
    <w:p w14:paraId="53EEC4FB">
      <w:pPr>
        <w:spacing w:after="160" w:line="278" w:lineRule="auto"/>
      </w:pPr>
      <w:r>
        <w:rPr>
          <w:b/>
          <w:bCs/>
        </w:rPr>
        <w:t>Jiang Pingyang</w:t>
      </w:r>
      <w:r>
        <w:br w:type="textWrapping"/>
      </w:r>
      <w:r>
        <w:t>Mobile: +86 138 1071 9839</w:t>
      </w:r>
    </w:p>
    <w:p w14:paraId="22EC0C77">
      <w:pPr>
        <w:spacing w:after="160" w:line="278" w:lineRule="auto"/>
        <w:rPr>
          <w:b/>
          <w:bCs/>
        </w:rPr>
      </w:pPr>
      <w:r>
        <w:rPr>
          <w:b/>
          <w:bCs/>
        </w:rPr>
        <w:t>13. Transaction Information Feedback</w:t>
      </w:r>
    </w:p>
    <w:p w14:paraId="2457EB98">
      <w:pPr>
        <w:spacing w:after="160" w:line="278" w:lineRule="auto"/>
      </w:pPr>
      <w:r>
        <w:t xml:space="preserve">Following the conference, participants who achieve transaction outcomes (including transactions </w:t>
      </w:r>
      <w:bookmarkStart w:id="0" w:name="_GoBack"/>
      <w:bookmarkEnd w:id="0"/>
      <w:r>
        <w:t>under negotiation or exclusive negotiation arrangements) should submit the:</w:t>
      </w:r>
    </w:p>
    <w:p w14:paraId="244B6A94">
      <w:pPr>
        <w:spacing w:after="160" w:line="278" w:lineRule="auto"/>
        <w:rPr>
          <w:rFonts w:hint="eastAsia" w:eastAsiaTheme="minorEastAsia"/>
          <w:lang w:val="en-US" w:eastAsia="zh-CN"/>
        </w:rPr>
      </w:pPr>
      <w:r>
        <w:rPr>
          <w:b/>
          <w:bCs/>
        </w:rPr>
        <w:t xml:space="preserve">"Transaction Information Feedback Form". </w:t>
      </w:r>
      <w:r>
        <w:t xml:space="preserve">The final submission deadline is </w:t>
      </w:r>
      <w:r>
        <w:rPr>
          <w:b/>
          <w:bCs/>
        </w:rPr>
        <w:t>30 September 202</w:t>
      </w:r>
      <w:r>
        <w:rPr>
          <w:rFonts w:hint="eastAsia"/>
          <w:b/>
          <w:bCs/>
          <w:lang w:val="en-US" w:eastAsia="zh-CN"/>
        </w:rPr>
        <w:t>6</w:t>
      </w:r>
    </w:p>
    <w:p w14:paraId="40840ADF">
      <w:pPr>
        <w:spacing w:after="160" w:line="278" w:lineRule="auto"/>
        <w:jc w:val="left"/>
        <w:rPr>
          <w:b/>
          <w:bCs/>
        </w:rPr>
      </w:pPr>
      <w:r>
        <w:rPr>
          <w:b/>
          <w:bCs/>
        </w:rPr>
        <w:t>Appendix</w:t>
      </w:r>
      <w:r>
        <w:rPr>
          <w:rFonts w:ascii="Cambria" w:hAnsi="Cambria" w:eastAsia="方正仿宋_GB2312" w:cs="方正仿宋_GB2312"/>
          <w:sz w:val="28"/>
          <w:szCs w:val="28"/>
        </w:rPr>
        <w:t>:</w:t>
      </w:r>
      <w:r>
        <w:rPr>
          <w:b/>
          <w:bCs/>
        </w:rPr>
        <w:t>2026 (28th)</w:t>
      </w:r>
      <w:r>
        <w:rPr>
          <w:rFonts w:hint="eastAsia"/>
          <w:b/>
          <w:bCs/>
        </w:rPr>
        <w:t>China Mining Conference and Exhibition</w:t>
      </w:r>
      <w:r>
        <w:rPr>
          <w:b/>
          <w:bCs/>
        </w:rPr>
        <w:t xml:space="preserve"> Transaction Information Feedback Form</w:t>
      </w:r>
    </w:p>
    <w:tbl>
      <w:tblPr>
        <w:tblStyle w:val="18"/>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20"/>
        <w:gridCol w:w="3879"/>
        <w:gridCol w:w="2268"/>
      </w:tblGrid>
      <w:tr w14:paraId="36F3A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2920" w:type="dxa"/>
            <w:tcBorders>
              <w:top w:val="single" w:color="auto" w:sz="4" w:space="0"/>
              <w:left w:val="single" w:color="auto" w:sz="4" w:space="0"/>
              <w:bottom w:val="single" w:color="auto" w:sz="4" w:space="0"/>
              <w:right w:val="single" w:color="auto" w:sz="4" w:space="0"/>
            </w:tcBorders>
            <w:vAlign w:val="center"/>
          </w:tcPr>
          <w:p w14:paraId="28555C5C">
            <w:pPr>
              <w:spacing w:after="160" w:line="278" w:lineRule="auto"/>
              <w:rPr>
                <w:b/>
                <w:bCs/>
              </w:rPr>
            </w:pPr>
            <w:r>
              <w:rPr>
                <w:b/>
                <w:bCs/>
              </w:rPr>
              <w:t>Reporting Company (Official Seal)</w:t>
            </w:r>
          </w:p>
        </w:tc>
        <w:tc>
          <w:tcPr>
            <w:tcW w:w="6147" w:type="dxa"/>
            <w:gridSpan w:val="2"/>
            <w:tcBorders>
              <w:top w:val="single" w:color="auto" w:sz="4" w:space="0"/>
              <w:left w:val="single" w:color="auto" w:sz="4" w:space="0"/>
              <w:bottom w:val="single" w:color="auto" w:sz="4" w:space="0"/>
              <w:right w:val="single" w:color="auto" w:sz="4" w:space="0"/>
            </w:tcBorders>
            <w:vAlign w:val="center"/>
          </w:tcPr>
          <w:p w14:paraId="6DC4EE37">
            <w:pPr>
              <w:adjustRightInd w:val="0"/>
              <w:snapToGrid w:val="0"/>
              <w:spacing w:line="440" w:lineRule="exact"/>
              <w:ind w:firstLine="560" w:firstLineChars="200"/>
              <w:rPr>
                <w:rFonts w:ascii="方正仿宋_GB2312" w:hAnsi="方正仿宋_GB2312" w:eastAsia="方正仿宋_GB2312" w:cs="方正仿宋_GB2312"/>
                <w:color w:val="000000"/>
                <w:sz w:val="28"/>
                <w:szCs w:val="28"/>
                <w:shd w:val="clear" w:color="auto" w:fill="FFFFFF"/>
              </w:rPr>
            </w:pPr>
          </w:p>
        </w:tc>
      </w:tr>
      <w:tr w14:paraId="5C6D2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920" w:type="dxa"/>
            <w:vMerge w:val="restart"/>
            <w:tcBorders>
              <w:top w:val="single" w:color="auto" w:sz="4" w:space="0"/>
              <w:left w:val="single" w:color="auto" w:sz="4" w:space="0"/>
              <w:right w:val="single" w:color="auto" w:sz="4" w:space="0"/>
            </w:tcBorders>
            <w:vAlign w:val="center"/>
          </w:tcPr>
          <w:p w14:paraId="059E7441">
            <w:pPr>
              <w:spacing w:after="160" w:line="278" w:lineRule="auto"/>
              <w:jc w:val="center"/>
              <w:rPr>
                <w:b/>
                <w:bCs/>
              </w:rPr>
            </w:pPr>
            <w:r>
              <w:rPr>
                <w:b/>
                <w:bCs/>
              </w:rPr>
              <w:t>Names of Transaction Parties</w:t>
            </w:r>
          </w:p>
          <w:p w14:paraId="3C8295C6">
            <w:pPr>
              <w:adjustRightInd w:val="0"/>
              <w:snapToGrid w:val="0"/>
              <w:spacing w:line="440" w:lineRule="exact"/>
              <w:jc w:val="center"/>
              <w:rPr>
                <w:rFonts w:ascii="方正仿宋_GB2312" w:hAnsi="方正仿宋_GB2312" w:eastAsia="方正仿宋_GB2312" w:cs="方正仿宋_GB2312"/>
                <w:color w:val="000000"/>
                <w:sz w:val="28"/>
                <w:szCs w:val="28"/>
                <w:shd w:val="clear" w:color="auto" w:fill="FFFFFF"/>
              </w:rPr>
            </w:pPr>
          </w:p>
        </w:tc>
        <w:tc>
          <w:tcPr>
            <w:tcW w:w="6147" w:type="dxa"/>
            <w:gridSpan w:val="2"/>
            <w:tcBorders>
              <w:top w:val="single" w:color="auto" w:sz="4" w:space="0"/>
              <w:left w:val="single" w:color="auto" w:sz="4" w:space="0"/>
              <w:bottom w:val="single" w:color="auto" w:sz="4" w:space="0"/>
              <w:right w:val="single" w:color="auto" w:sz="4" w:space="0"/>
            </w:tcBorders>
            <w:vAlign w:val="center"/>
          </w:tcPr>
          <w:p w14:paraId="78B8965B">
            <w:pPr>
              <w:adjustRightInd w:val="0"/>
              <w:snapToGrid w:val="0"/>
              <w:spacing w:line="440" w:lineRule="exact"/>
              <w:rPr>
                <w:rFonts w:ascii="方正仿宋_GB2312" w:hAnsi="方正仿宋_GB2312" w:eastAsia="方正仿宋_GB2312" w:cs="方正仿宋_GB2312"/>
                <w:color w:val="000000"/>
                <w:sz w:val="28"/>
                <w:szCs w:val="28"/>
                <w:u w:val="thick"/>
                <w:shd w:val="clear" w:color="auto" w:fill="FFFFFF"/>
              </w:rPr>
            </w:pPr>
          </w:p>
        </w:tc>
      </w:tr>
      <w:tr w14:paraId="6FFBE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2920" w:type="dxa"/>
            <w:vMerge w:val="continue"/>
            <w:tcBorders>
              <w:left w:val="single" w:color="auto" w:sz="4" w:space="0"/>
              <w:right w:val="single" w:color="auto" w:sz="4" w:space="0"/>
            </w:tcBorders>
            <w:vAlign w:val="center"/>
          </w:tcPr>
          <w:p w14:paraId="61AD5891">
            <w:pPr>
              <w:adjustRightInd w:val="0"/>
              <w:snapToGrid w:val="0"/>
              <w:spacing w:line="440" w:lineRule="exact"/>
              <w:jc w:val="center"/>
              <w:rPr>
                <w:rFonts w:ascii="方正仿宋_GB2312" w:hAnsi="方正仿宋_GB2312" w:eastAsia="方正仿宋_GB2312" w:cs="方正仿宋_GB2312"/>
                <w:color w:val="000000"/>
                <w:sz w:val="28"/>
                <w:szCs w:val="28"/>
                <w:shd w:val="clear" w:color="auto" w:fill="FFFFFF"/>
              </w:rPr>
            </w:pPr>
          </w:p>
        </w:tc>
        <w:tc>
          <w:tcPr>
            <w:tcW w:w="6147" w:type="dxa"/>
            <w:gridSpan w:val="2"/>
            <w:tcBorders>
              <w:top w:val="single" w:color="auto" w:sz="4" w:space="0"/>
              <w:left w:val="single" w:color="auto" w:sz="4" w:space="0"/>
              <w:bottom w:val="single" w:color="auto" w:sz="4" w:space="0"/>
              <w:right w:val="single" w:color="auto" w:sz="4" w:space="0"/>
            </w:tcBorders>
            <w:vAlign w:val="center"/>
          </w:tcPr>
          <w:p w14:paraId="522BA8E9">
            <w:pPr>
              <w:adjustRightInd w:val="0"/>
              <w:snapToGrid w:val="0"/>
              <w:spacing w:line="440" w:lineRule="exact"/>
              <w:rPr>
                <w:rFonts w:ascii="方正仿宋_GB2312" w:hAnsi="方正仿宋_GB2312" w:eastAsia="方正仿宋_GB2312" w:cs="方正仿宋_GB2312"/>
                <w:color w:val="000000"/>
                <w:sz w:val="28"/>
                <w:szCs w:val="28"/>
                <w:u w:val="thick"/>
                <w:shd w:val="clear" w:color="auto" w:fill="FFFFFF"/>
              </w:rPr>
            </w:pPr>
          </w:p>
        </w:tc>
      </w:tr>
      <w:tr w14:paraId="3E09F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20" w:type="dxa"/>
            <w:vMerge w:val="continue"/>
            <w:tcBorders>
              <w:left w:val="single" w:color="auto" w:sz="4" w:space="0"/>
              <w:right w:val="single" w:color="auto" w:sz="4" w:space="0"/>
            </w:tcBorders>
            <w:vAlign w:val="center"/>
          </w:tcPr>
          <w:p w14:paraId="2D7E1914">
            <w:pPr>
              <w:adjustRightInd w:val="0"/>
              <w:snapToGrid w:val="0"/>
              <w:spacing w:line="440" w:lineRule="exact"/>
              <w:jc w:val="center"/>
              <w:rPr>
                <w:rFonts w:ascii="方正仿宋_GB2312" w:hAnsi="方正仿宋_GB2312" w:eastAsia="方正仿宋_GB2312" w:cs="方正仿宋_GB2312"/>
                <w:color w:val="000000"/>
                <w:sz w:val="28"/>
                <w:szCs w:val="28"/>
                <w:shd w:val="clear" w:color="auto" w:fill="FFFFFF"/>
              </w:rPr>
            </w:pPr>
          </w:p>
        </w:tc>
        <w:tc>
          <w:tcPr>
            <w:tcW w:w="6147" w:type="dxa"/>
            <w:gridSpan w:val="2"/>
            <w:tcBorders>
              <w:top w:val="single" w:color="auto" w:sz="4" w:space="0"/>
              <w:left w:val="single" w:color="auto" w:sz="4" w:space="0"/>
              <w:bottom w:val="single" w:color="auto" w:sz="4" w:space="0"/>
              <w:right w:val="single" w:color="auto" w:sz="4" w:space="0"/>
            </w:tcBorders>
            <w:vAlign w:val="center"/>
          </w:tcPr>
          <w:p w14:paraId="5994D707">
            <w:pPr>
              <w:adjustRightInd w:val="0"/>
              <w:snapToGrid w:val="0"/>
              <w:spacing w:line="440" w:lineRule="exact"/>
              <w:rPr>
                <w:rFonts w:ascii="方正仿宋_GB2312" w:hAnsi="方正仿宋_GB2312" w:eastAsia="方正仿宋_GB2312" w:cs="方正仿宋_GB2312"/>
                <w:color w:val="000000"/>
                <w:sz w:val="28"/>
                <w:szCs w:val="28"/>
                <w:u w:val="thick"/>
                <w:shd w:val="clear" w:color="auto" w:fill="FFFFFF"/>
              </w:rPr>
            </w:pPr>
          </w:p>
        </w:tc>
      </w:tr>
      <w:tr w14:paraId="288C6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2920" w:type="dxa"/>
            <w:vMerge w:val="restart"/>
            <w:tcBorders>
              <w:top w:val="single" w:color="auto" w:sz="4" w:space="0"/>
              <w:left w:val="single" w:color="auto" w:sz="4" w:space="0"/>
              <w:right w:val="single" w:color="auto" w:sz="4" w:space="0"/>
            </w:tcBorders>
            <w:vAlign w:val="center"/>
          </w:tcPr>
          <w:p w14:paraId="47C6B71E">
            <w:pPr>
              <w:spacing w:after="160" w:line="278" w:lineRule="auto"/>
              <w:jc w:val="center"/>
              <w:rPr>
                <w:b/>
                <w:bCs/>
              </w:rPr>
            </w:pPr>
            <w:r>
              <w:rPr>
                <w:b/>
                <w:bCs/>
              </w:rPr>
              <w:t>Transaction Subject and Value</w:t>
            </w:r>
          </w:p>
          <w:p w14:paraId="2D6BD862">
            <w:pPr>
              <w:spacing w:after="160" w:line="278" w:lineRule="auto"/>
              <w:jc w:val="center"/>
            </w:pPr>
            <w:r>
              <w:rPr>
                <w:i/>
                <w:iCs/>
              </w:rPr>
              <w:t>(RMB Ten Thousand Yuan)</w:t>
            </w:r>
          </w:p>
          <w:p w14:paraId="0E147218">
            <w:pPr>
              <w:adjustRightInd w:val="0"/>
              <w:snapToGrid w:val="0"/>
              <w:spacing w:line="440" w:lineRule="exact"/>
              <w:jc w:val="center"/>
              <w:rPr>
                <w:rFonts w:ascii="方正仿宋_GB2312" w:hAnsi="方正仿宋_GB2312" w:eastAsia="方正仿宋_GB2312" w:cs="方正仿宋_GB2312"/>
                <w:color w:val="000000"/>
                <w:sz w:val="28"/>
                <w:szCs w:val="28"/>
                <w:shd w:val="clear" w:color="auto" w:fill="FFFFFF"/>
              </w:rPr>
            </w:pPr>
          </w:p>
        </w:tc>
        <w:tc>
          <w:tcPr>
            <w:tcW w:w="3879" w:type="dxa"/>
            <w:tcBorders>
              <w:top w:val="single" w:color="auto" w:sz="4" w:space="0"/>
              <w:left w:val="single" w:color="auto" w:sz="4" w:space="0"/>
              <w:bottom w:val="single" w:color="auto" w:sz="4" w:space="0"/>
              <w:right w:val="single" w:color="auto" w:sz="4" w:space="0"/>
            </w:tcBorders>
            <w:vAlign w:val="center"/>
          </w:tcPr>
          <w:p w14:paraId="4169B8E4">
            <w:pPr>
              <w:adjustRightInd w:val="0"/>
              <w:snapToGrid w:val="0"/>
              <w:spacing w:line="440" w:lineRule="exact"/>
              <w:jc w:val="center"/>
              <w:rPr>
                <w:rFonts w:ascii="方正仿宋_GB2312" w:hAnsi="方正仿宋_GB2312" w:eastAsia="方正仿宋_GB2312" w:cs="方正仿宋_GB2312"/>
                <w:color w:val="000000"/>
                <w:sz w:val="28"/>
                <w:szCs w:val="28"/>
                <w:shd w:val="clear" w:color="auto" w:fill="FFFFFF"/>
              </w:rPr>
            </w:pPr>
            <w:r>
              <w:rPr>
                <w:rFonts w:hint="eastAsia"/>
              </w:rPr>
              <w:t>Mineral</w:t>
            </w:r>
            <w:r>
              <w:t xml:space="preserve"> Rights</w:t>
            </w:r>
          </w:p>
        </w:tc>
        <w:tc>
          <w:tcPr>
            <w:tcW w:w="2268" w:type="dxa"/>
            <w:tcBorders>
              <w:top w:val="single" w:color="auto" w:sz="4" w:space="0"/>
              <w:left w:val="single" w:color="auto" w:sz="4" w:space="0"/>
              <w:bottom w:val="single" w:color="auto" w:sz="4" w:space="0"/>
              <w:right w:val="single" w:color="auto" w:sz="4" w:space="0"/>
            </w:tcBorders>
            <w:vAlign w:val="center"/>
          </w:tcPr>
          <w:p w14:paraId="0FE6E92F">
            <w:pPr>
              <w:adjustRightInd w:val="0"/>
              <w:snapToGrid w:val="0"/>
              <w:spacing w:line="440" w:lineRule="exact"/>
              <w:ind w:firstLine="560" w:firstLineChars="200"/>
              <w:rPr>
                <w:rFonts w:ascii="方正仿宋_GB2312" w:hAnsi="方正仿宋_GB2312" w:eastAsia="方正仿宋_GB2312" w:cs="方正仿宋_GB2312"/>
                <w:color w:val="000000"/>
                <w:sz w:val="28"/>
                <w:szCs w:val="28"/>
                <w:shd w:val="clear" w:color="auto" w:fill="FFFFFF"/>
              </w:rPr>
            </w:pPr>
          </w:p>
        </w:tc>
      </w:tr>
      <w:tr w14:paraId="42137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920" w:type="dxa"/>
            <w:vMerge w:val="continue"/>
            <w:tcBorders>
              <w:left w:val="single" w:color="auto" w:sz="4" w:space="0"/>
              <w:right w:val="single" w:color="auto" w:sz="4" w:space="0"/>
            </w:tcBorders>
            <w:vAlign w:val="center"/>
          </w:tcPr>
          <w:p w14:paraId="2D8621E1">
            <w:pPr>
              <w:adjustRightInd w:val="0"/>
              <w:snapToGrid w:val="0"/>
              <w:spacing w:line="440" w:lineRule="exact"/>
              <w:ind w:firstLine="560" w:firstLineChars="200"/>
              <w:rPr>
                <w:rFonts w:ascii="方正仿宋_GB2312" w:hAnsi="方正仿宋_GB2312" w:eastAsia="方正仿宋_GB2312" w:cs="方正仿宋_GB2312"/>
                <w:sz w:val="28"/>
                <w:szCs w:val="28"/>
              </w:rPr>
            </w:pPr>
          </w:p>
        </w:tc>
        <w:tc>
          <w:tcPr>
            <w:tcW w:w="3879" w:type="dxa"/>
            <w:tcBorders>
              <w:top w:val="single" w:color="auto" w:sz="4" w:space="0"/>
              <w:left w:val="single" w:color="auto" w:sz="4" w:space="0"/>
              <w:bottom w:val="single" w:color="auto" w:sz="4" w:space="0"/>
              <w:right w:val="single" w:color="auto" w:sz="4" w:space="0"/>
            </w:tcBorders>
            <w:vAlign w:val="center"/>
          </w:tcPr>
          <w:p w14:paraId="0DCE74CE">
            <w:pPr>
              <w:adjustRightInd w:val="0"/>
              <w:snapToGrid w:val="0"/>
              <w:spacing w:line="440" w:lineRule="exact"/>
              <w:jc w:val="center"/>
              <w:rPr>
                <w:rFonts w:ascii="方正仿宋_GB2312" w:hAnsi="方正仿宋_GB2312" w:eastAsia="方正仿宋_GB2312" w:cs="方正仿宋_GB2312"/>
                <w:color w:val="000000"/>
                <w:sz w:val="28"/>
                <w:szCs w:val="28"/>
                <w:shd w:val="clear" w:color="auto" w:fill="FFFFFF"/>
              </w:rPr>
            </w:pPr>
            <w:r>
              <w:t>Equity Interests</w:t>
            </w:r>
          </w:p>
        </w:tc>
        <w:tc>
          <w:tcPr>
            <w:tcW w:w="2268" w:type="dxa"/>
            <w:tcBorders>
              <w:top w:val="single" w:color="auto" w:sz="4" w:space="0"/>
              <w:left w:val="single" w:color="auto" w:sz="4" w:space="0"/>
              <w:bottom w:val="single" w:color="auto" w:sz="4" w:space="0"/>
              <w:right w:val="single" w:color="auto" w:sz="4" w:space="0"/>
            </w:tcBorders>
            <w:vAlign w:val="center"/>
          </w:tcPr>
          <w:p w14:paraId="4463C1ED">
            <w:pPr>
              <w:adjustRightInd w:val="0"/>
              <w:snapToGrid w:val="0"/>
              <w:spacing w:line="440" w:lineRule="exact"/>
              <w:ind w:firstLine="560" w:firstLineChars="200"/>
              <w:rPr>
                <w:rFonts w:ascii="方正仿宋_GB2312" w:hAnsi="方正仿宋_GB2312" w:eastAsia="方正仿宋_GB2312" w:cs="方正仿宋_GB2312"/>
                <w:color w:val="000000"/>
                <w:sz w:val="28"/>
                <w:szCs w:val="28"/>
                <w:shd w:val="clear" w:color="auto" w:fill="FFFFFF"/>
              </w:rPr>
            </w:pPr>
          </w:p>
        </w:tc>
      </w:tr>
      <w:tr w14:paraId="77D90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920" w:type="dxa"/>
            <w:vMerge w:val="continue"/>
            <w:tcBorders>
              <w:left w:val="single" w:color="auto" w:sz="4" w:space="0"/>
              <w:right w:val="single" w:color="auto" w:sz="4" w:space="0"/>
            </w:tcBorders>
            <w:vAlign w:val="center"/>
          </w:tcPr>
          <w:p w14:paraId="0009DEBE">
            <w:pPr>
              <w:adjustRightInd w:val="0"/>
              <w:snapToGrid w:val="0"/>
              <w:spacing w:line="440" w:lineRule="exact"/>
              <w:ind w:firstLine="560" w:firstLineChars="200"/>
              <w:rPr>
                <w:rFonts w:ascii="方正仿宋_GB2312" w:hAnsi="方正仿宋_GB2312" w:eastAsia="方正仿宋_GB2312" w:cs="方正仿宋_GB2312"/>
                <w:color w:val="000000"/>
                <w:sz w:val="28"/>
                <w:szCs w:val="28"/>
                <w:shd w:val="clear" w:color="auto" w:fill="FFFFFF"/>
              </w:rPr>
            </w:pPr>
          </w:p>
        </w:tc>
        <w:tc>
          <w:tcPr>
            <w:tcW w:w="3879" w:type="dxa"/>
            <w:tcBorders>
              <w:top w:val="single" w:color="auto" w:sz="4" w:space="0"/>
              <w:left w:val="single" w:color="auto" w:sz="4" w:space="0"/>
              <w:bottom w:val="single" w:color="auto" w:sz="4" w:space="0"/>
              <w:right w:val="single" w:color="auto" w:sz="4" w:space="0"/>
            </w:tcBorders>
            <w:vAlign w:val="center"/>
          </w:tcPr>
          <w:p w14:paraId="15B2DA98">
            <w:pPr>
              <w:adjustRightInd w:val="0"/>
              <w:snapToGrid w:val="0"/>
              <w:spacing w:line="440" w:lineRule="exact"/>
              <w:jc w:val="center"/>
              <w:rPr>
                <w:rFonts w:ascii="方正仿宋_GB2312" w:hAnsi="方正仿宋_GB2312" w:eastAsia="方正仿宋_GB2312" w:cs="方正仿宋_GB2312"/>
                <w:color w:val="000000"/>
                <w:sz w:val="28"/>
                <w:szCs w:val="28"/>
                <w:shd w:val="clear" w:color="auto" w:fill="FFFFFF"/>
              </w:rPr>
            </w:pPr>
            <w:r>
              <w:t>Mineral Products and Equipment</w:t>
            </w:r>
          </w:p>
        </w:tc>
        <w:tc>
          <w:tcPr>
            <w:tcW w:w="2268" w:type="dxa"/>
            <w:tcBorders>
              <w:top w:val="single" w:color="auto" w:sz="4" w:space="0"/>
              <w:left w:val="single" w:color="auto" w:sz="4" w:space="0"/>
              <w:bottom w:val="single" w:color="auto" w:sz="4" w:space="0"/>
              <w:right w:val="single" w:color="auto" w:sz="4" w:space="0"/>
            </w:tcBorders>
            <w:vAlign w:val="center"/>
          </w:tcPr>
          <w:p w14:paraId="0978BC36">
            <w:pPr>
              <w:adjustRightInd w:val="0"/>
              <w:snapToGrid w:val="0"/>
              <w:spacing w:line="440" w:lineRule="exact"/>
              <w:ind w:firstLine="560" w:firstLineChars="200"/>
              <w:rPr>
                <w:rFonts w:ascii="方正仿宋_GB2312" w:hAnsi="方正仿宋_GB2312" w:eastAsia="方正仿宋_GB2312" w:cs="方正仿宋_GB2312"/>
                <w:color w:val="000000"/>
                <w:sz w:val="28"/>
                <w:szCs w:val="28"/>
                <w:shd w:val="clear" w:color="auto" w:fill="FFFFFF"/>
              </w:rPr>
            </w:pPr>
          </w:p>
        </w:tc>
      </w:tr>
      <w:tr w14:paraId="178F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920" w:type="dxa"/>
            <w:vMerge w:val="continue"/>
            <w:tcBorders>
              <w:left w:val="single" w:color="auto" w:sz="4" w:space="0"/>
              <w:right w:val="single" w:color="auto" w:sz="4" w:space="0"/>
            </w:tcBorders>
            <w:vAlign w:val="center"/>
          </w:tcPr>
          <w:p w14:paraId="5CDD0E6E">
            <w:pPr>
              <w:adjustRightInd w:val="0"/>
              <w:snapToGrid w:val="0"/>
              <w:spacing w:line="440" w:lineRule="exact"/>
              <w:ind w:firstLine="560" w:firstLineChars="200"/>
              <w:rPr>
                <w:rFonts w:ascii="方正仿宋_GB2312" w:hAnsi="方正仿宋_GB2312" w:eastAsia="方正仿宋_GB2312" w:cs="方正仿宋_GB2312"/>
                <w:color w:val="000000"/>
                <w:sz w:val="28"/>
                <w:szCs w:val="28"/>
                <w:shd w:val="clear" w:color="auto" w:fill="FFFFFF"/>
              </w:rPr>
            </w:pPr>
          </w:p>
        </w:tc>
        <w:tc>
          <w:tcPr>
            <w:tcW w:w="3879" w:type="dxa"/>
            <w:tcBorders>
              <w:top w:val="single" w:color="auto" w:sz="4" w:space="0"/>
              <w:left w:val="single" w:color="auto" w:sz="4" w:space="0"/>
              <w:bottom w:val="single" w:color="auto" w:sz="4" w:space="0"/>
              <w:right w:val="single" w:color="auto" w:sz="4" w:space="0"/>
            </w:tcBorders>
            <w:vAlign w:val="center"/>
          </w:tcPr>
          <w:p w14:paraId="277F67C1">
            <w:pPr>
              <w:adjustRightInd w:val="0"/>
              <w:snapToGrid w:val="0"/>
              <w:spacing w:line="440" w:lineRule="exact"/>
              <w:jc w:val="center"/>
              <w:rPr>
                <w:rFonts w:ascii="方正仿宋_GB2312" w:hAnsi="方正仿宋_GB2312" w:eastAsia="方正仿宋_GB2312" w:cs="方正仿宋_GB2312"/>
                <w:color w:val="000000"/>
                <w:sz w:val="28"/>
                <w:szCs w:val="28"/>
                <w:shd w:val="clear" w:color="auto" w:fill="FFFFFF"/>
              </w:rPr>
            </w:pPr>
            <w:r>
              <w:t>Technology, Engineering and Services</w:t>
            </w:r>
          </w:p>
        </w:tc>
        <w:tc>
          <w:tcPr>
            <w:tcW w:w="2268" w:type="dxa"/>
            <w:tcBorders>
              <w:top w:val="single" w:color="auto" w:sz="4" w:space="0"/>
              <w:left w:val="single" w:color="auto" w:sz="4" w:space="0"/>
              <w:bottom w:val="single" w:color="auto" w:sz="4" w:space="0"/>
              <w:right w:val="single" w:color="auto" w:sz="4" w:space="0"/>
            </w:tcBorders>
            <w:vAlign w:val="center"/>
          </w:tcPr>
          <w:p w14:paraId="5DBC3020">
            <w:pPr>
              <w:adjustRightInd w:val="0"/>
              <w:snapToGrid w:val="0"/>
              <w:spacing w:line="440" w:lineRule="exact"/>
              <w:ind w:firstLine="560" w:firstLineChars="200"/>
              <w:rPr>
                <w:rFonts w:ascii="方正仿宋_GB2312" w:hAnsi="方正仿宋_GB2312" w:eastAsia="方正仿宋_GB2312" w:cs="方正仿宋_GB2312"/>
                <w:color w:val="000000"/>
                <w:sz w:val="28"/>
                <w:szCs w:val="28"/>
                <w:shd w:val="clear" w:color="auto" w:fill="FFFFFF"/>
              </w:rPr>
            </w:pPr>
          </w:p>
        </w:tc>
      </w:tr>
      <w:tr w14:paraId="75FE7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920" w:type="dxa"/>
            <w:vMerge w:val="continue"/>
            <w:tcBorders>
              <w:left w:val="single" w:color="auto" w:sz="4" w:space="0"/>
              <w:right w:val="single" w:color="auto" w:sz="4" w:space="0"/>
            </w:tcBorders>
            <w:vAlign w:val="center"/>
          </w:tcPr>
          <w:p w14:paraId="6BC093A7">
            <w:pPr>
              <w:adjustRightInd w:val="0"/>
              <w:snapToGrid w:val="0"/>
              <w:spacing w:line="440" w:lineRule="exact"/>
              <w:ind w:firstLine="560" w:firstLineChars="200"/>
              <w:rPr>
                <w:rFonts w:ascii="方正仿宋_GB2312" w:hAnsi="方正仿宋_GB2312" w:eastAsia="方正仿宋_GB2312" w:cs="方正仿宋_GB2312"/>
                <w:color w:val="000000"/>
                <w:sz w:val="28"/>
                <w:szCs w:val="28"/>
                <w:shd w:val="clear" w:color="auto" w:fill="FFFFFF"/>
              </w:rPr>
            </w:pPr>
          </w:p>
        </w:tc>
        <w:tc>
          <w:tcPr>
            <w:tcW w:w="3879" w:type="dxa"/>
            <w:tcBorders>
              <w:top w:val="single" w:color="auto" w:sz="4" w:space="0"/>
              <w:left w:val="single" w:color="auto" w:sz="4" w:space="0"/>
              <w:bottom w:val="single" w:color="auto" w:sz="4" w:space="0"/>
              <w:right w:val="single" w:color="auto" w:sz="4" w:space="0"/>
            </w:tcBorders>
            <w:vAlign w:val="center"/>
          </w:tcPr>
          <w:p w14:paraId="55ED5E22">
            <w:pPr>
              <w:adjustRightInd w:val="0"/>
              <w:snapToGrid w:val="0"/>
              <w:spacing w:line="440" w:lineRule="exact"/>
              <w:jc w:val="center"/>
              <w:rPr>
                <w:rFonts w:ascii="方正仿宋_GB2312" w:hAnsi="方正仿宋_GB2312" w:eastAsia="方正仿宋_GB2312" w:cs="方正仿宋_GB2312"/>
                <w:color w:val="000000"/>
                <w:sz w:val="28"/>
                <w:szCs w:val="28"/>
                <w:shd w:val="clear" w:color="auto" w:fill="FFFFFF"/>
              </w:rPr>
            </w:pPr>
            <w:r>
              <w:t>Other</w:t>
            </w:r>
          </w:p>
        </w:tc>
        <w:tc>
          <w:tcPr>
            <w:tcW w:w="2268" w:type="dxa"/>
            <w:tcBorders>
              <w:top w:val="single" w:color="auto" w:sz="4" w:space="0"/>
              <w:left w:val="single" w:color="auto" w:sz="4" w:space="0"/>
              <w:bottom w:val="single" w:color="auto" w:sz="4" w:space="0"/>
              <w:right w:val="single" w:color="auto" w:sz="4" w:space="0"/>
            </w:tcBorders>
            <w:vAlign w:val="center"/>
          </w:tcPr>
          <w:p w14:paraId="0E4130EC">
            <w:pPr>
              <w:adjustRightInd w:val="0"/>
              <w:snapToGrid w:val="0"/>
              <w:spacing w:line="440" w:lineRule="exact"/>
              <w:ind w:firstLine="560" w:firstLineChars="200"/>
              <w:rPr>
                <w:rFonts w:ascii="方正仿宋_GB2312" w:hAnsi="方正仿宋_GB2312" w:eastAsia="方正仿宋_GB2312" w:cs="方正仿宋_GB2312"/>
                <w:color w:val="000000"/>
                <w:sz w:val="28"/>
                <w:szCs w:val="28"/>
                <w:shd w:val="clear" w:color="auto" w:fill="FFFFFF"/>
              </w:rPr>
            </w:pPr>
          </w:p>
        </w:tc>
      </w:tr>
      <w:tr w14:paraId="01C9F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920" w:type="dxa"/>
            <w:vMerge w:val="restart"/>
            <w:tcBorders>
              <w:top w:val="single" w:color="auto" w:sz="4" w:space="0"/>
              <w:left w:val="single" w:color="auto" w:sz="4" w:space="0"/>
              <w:right w:val="single" w:color="auto" w:sz="4" w:space="0"/>
            </w:tcBorders>
            <w:vAlign w:val="center"/>
          </w:tcPr>
          <w:p w14:paraId="0BDAAE10">
            <w:pPr>
              <w:spacing w:after="160" w:line="278" w:lineRule="auto"/>
              <w:jc w:val="center"/>
              <w:rPr>
                <w:b/>
                <w:bCs/>
              </w:rPr>
            </w:pPr>
            <w:r>
              <w:rPr>
                <w:b/>
                <w:bCs/>
              </w:rPr>
              <w:t>Transaction Method</w:t>
            </w:r>
          </w:p>
          <w:p w14:paraId="3E203844">
            <w:pPr>
              <w:adjustRightInd w:val="0"/>
              <w:snapToGrid w:val="0"/>
              <w:spacing w:line="440" w:lineRule="exact"/>
              <w:jc w:val="center"/>
              <w:rPr>
                <w:rFonts w:ascii="方正仿宋_GB2312" w:hAnsi="方正仿宋_GB2312" w:eastAsia="方正仿宋_GB2312" w:cs="方正仿宋_GB2312"/>
                <w:i/>
                <w:iCs/>
                <w:color w:val="000000"/>
                <w:sz w:val="28"/>
                <w:szCs w:val="28"/>
                <w:shd w:val="clear" w:color="auto" w:fill="FFFFFF"/>
              </w:rPr>
            </w:pPr>
          </w:p>
        </w:tc>
        <w:tc>
          <w:tcPr>
            <w:tcW w:w="3879" w:type="dxa"/>
            <w:tcBorders>
              <w:top w:val="single" w:color="auto" w:sz="4" w:space="0"/>
              <w:left w:val="single" w:color="auto" w:sz="4" w:space="0"/>
              <w:bottom w:val="single" w:color="auto" w:sz="4" w:space="0"/>
              <w:right w:val="single" w:color="auto" w:sz="4" w:space="0"/>
            </w:tcBorders>
            <w:vAlign w:val="center"/>
          </w:tcPr>
          <w:p w14:paraId="751B5F8B">
            <w:pPr>
              <w:adjustRightInd w:val="0"/>
              <w:snapToGrid w:val="0"/>
              <w:spacing w:line="440" w:lineRule="exact"/>
              <w:jc w:val="center"/>
              <w:rPr>
                <w:rFonts w:ascii="方正仿宋_GB2312" w:hAnsi="方正仿宋_GB2312" w:eastAsia="方正仿宋_GB2312" w:cs="方正仿宋_GB2312"/>
                <w:color w:val="000000"/>
                <w:sz w:val="28"/>
                <w:szCs w:val="28"/>
                <w:shd w:val="clear" w:color="auto" w:fill="FFFFFF"/>
              </w:rPr>
            </w:pPr>
            <w:r>
              <w:rPr>
                <w:rFonts w:hint="eastAsia"/>
              </w:rPr>
              <w:t>Independent Negotiation</w:t>
            </w:r>
          </w:p>
        </w:tc>
        <w:tc>
          <w:tcPr>
            <w:tcW w:w="2268" w:type="dxa"/>
            <w:tcBorders>
              <w:top w:val="single" w:color="auto" w:sz="4" w:space="0"/>
              <w:left w:val="single" w:color="auto" w:sz="4" w:space="0"/>
              <w:bottom w:val="single" w:color="auto" w:sz="4" w:space="0"/>
              <w:right w:val="single" w:color="auto" w:sz="4" w:space="0"/>
            </w:tcBorders>
            <w:vAlign w:val="center"/>
          </w:tcPr>
          <w:p w14:paraId="362D4558">
            <w:pPr>
              <w:adjustRightInd w:val="0"/>
              <w:snapToGrid w:val="0"/>
              <w:spacing w:line="440" w:lineRule="exact"/>
              <w:ind w:firstLine="560" w:firstLineChars="200"/>
              <w:rPr>
                <w:rFonts w:ascii="方正仿宋_GB2312" w:hAnsi="方正仿宋_GB2312" w:eastAsia="方正仿宋_GB2312" w:cs="方正仿宋_GB2312"/>
                <w:color w:val="000000"/>
                <w:sz w:val="28"/>
                <w:szCs w:val="28"/>
                <w:shd w:val="clear" w:color="auto" w:fill="FFFFFF"/>
              </w:rPr>
            </w:pPr>
          </w:p>
        </w:tc>
      </w:tr>
      <w:tr w14:paraId="273DB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920" w:type="dxa"/>
            <w:vMerge w:val="continue"/>
            <w:tcBorders>
              <w:left w:val="single" w:color="auto" w:sz="4" w:space="0"/>
              <w:right w:val="single" w:color="auto" w:sz="4" w:space="0"/>
            </w:tcBorders>
            <w:vAlign w:val="center"/>
          </w:tcPr>
          <w:p w14:paraId="3D5CF7F2">
            <w:pPr>
              <w:adjustRightInd w:val="0"/>
              <w:snapToGrid w:val="0"/>
              <w:spacing w:line="440" w:lineRule="exact"/>
              <w:jc w:val="center"/>
              <w:rPr>
                <w:rFonts w:ascii="方正仿宋_GB2312" w:hAnsi="方正仿宋_GB2312" w:eastAsia="方正仿宋_GB2312" w:cs="方正仿宋_GB2312"/>
                <w:color w:val="000000"/>
                <w:sz w:val="28"/>
                <w:szCs w:val="28"/>
                <w:shd w:val="clear" w:color="auto" w:fill="FFFFFF"/>
              </w:rPr>
            </w:pPr>
          </w:p>
        </w:tc>
        <w:tc>
          <w:tcPr>
            <w:tcW w:w="3879" w:type="dxa"/>
            <w:tcBorders>
              <w:top w:val="single" w:color="auto" w:sz="4" w:space="0"/>
              <w:left w:val="single" w:color="auto" w:sz="4" w:space="0"/>
              <w:bottom w:val="single" w:color="auto" w:sz="4" w:space="0"/>
              <w:right w:val="single" w:color="auto" w:sz="4" w:space="0"/>
            </w:tcBorders>
            <w:vAlign w:val="center"/>
          </w:tcPr>
          <w:p w14:paraId="32A0DC34">
            <w:pPr>
              <w:adjustRightInd w:val="0"/>
              <w:snapToGrid w:val="0"/>
              <w:spacing w:line="440" w:lineRule="exact"/>
              <w:jc w:val="center"/>
              <w:rPr>
                <w:rFonts w:ascii="方正仿宋_GB2312" w:hAnsi="方正仿宋_GB2312" w:eastAsia="方正仿宋_GB2312" w:cs="方正仿宋_GB2312"/>
                <w:color w:val="000000"/>
                <w:sz w:val="28"/>
                <w:szCs w:val="28"/>
                <w:shd w:val="clear" w:color="auto" w:fill="FFFFFF"/>
              </w:rPr>
            </w:pPr>
            <w:r>
              <w:rPr>
                <w:rFonts w:hint="eastAsia"/>
              </w:rPr>
              <w:t>Commissioned Competitive Trading</w:t>
            </w:r>
          </w:p>
        </w:tc>
        <w:tc>
          <w:tcPr>
            <w:tcW w:w="2268" w:type="dxa"/>
            <w:tcBorders>
              <w:top w:val="single" w:color="auto" w:sz="4" w:space="0"/>
              <w:left w:val="single" w:color="auto" w:sz="4" w:space="0"/>
              <w:bottom w:val="single" w:color="auto" w:sz="4" w:space="0"/>
              <w:right w:val="single" w:color="auto" w:sz="4" w:space="0"/>
            </w:tcBorders>
            <w:vAlign w:val="center"/>
          </w:tcPr>
          <w:p w14:paraId="602C86D6">
            <w:pPr>
              <w:adjustRightInd w:val="0"/>
              <w:snapToGrid w:val="0"/>
              <w:spacing w:line="440" w:lineRule="exact"/>
              <w:ind w:firstLine="560" w:firstLineChars="200"/>
              <w:rPr>
                <w:rFonts w:ascii="方正仿宋_GB2312" w:hAnsi="方正仿宋_GB2312" w:eastAsia="方正仿宋_GB2312" w:cs="方正仿宋_GB2312"/>
                <w:color w:val="000000"/>
                <w:sz w:val="28"/>
                <w:szCs w:val="28"/>
                <w:shd w:val="clear" w:color="auto" w:fill="FFFFFF"/>
              </w:rPr>
            </w:pPr>
          </w:p>
        </w:tc>
      </w:tr>
      <w:tr w14:paraId="2646C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920" w:type="dxa"/>
            <w:vMerge w:val="continue"/>
            <w:tcBorders>
              <w:left w:val="single" w:color="auto" w:sz="4" w:space="0"/>
              <w:right w:val="single" w:color="auto" w:sz="4" w:space="0"/>
            </w:tcBorders>
            <w:vAlign w:val="center"/>
          </w:tcPr>
          <w:p w14:paraId="05E2A522">
            <w:pPr>
              <w:adjustRightInd w:val="0"/>
              <w:snapToGrid w:val="0"/>
              <w:spacing w:line="440" w:lineRule="exact"/>
              <w:jc w:val="center"/>
              <w:rPr>
                <w:rFonts w:ascii="方正仿宋_GB2312" w:hAnsi="方正仿宋_GB2312" w:eastAsia="方正仿宋_GB2312" w:cs="方正仿宋_GB2312"/>
                <w:color w:val="000000"/>
                <w:sz w:val="28"/>
                <w:szCs w:val="28"/>
                <w:shd w:val="clear" w:color="auto" w:fill="FFFFFF"/>
              </w:rPr>
            </w:pPr>
          </w:p>
        </w:tc>
        <w:tc>
          <w:tcPr>
            <w:tcW w:w="3879" w:type="dxa"/>
            <w:tcBorders>
              <w:top w:val="single" w:color="auto" w:sz="4" w:space="0"/>
              <w:left w:val="single" w:color="auto" w:sz="4" w:space="0"/>
              <w:bottom w:val="single" w:color="auto" w:sz="4" w:space="0"/>
              <w:right w:val="single" w:color="auto" w:sz="4" w:space="0"/>
            </w:tcBorders>
            <w:vAlign w:val="center"/>
          </w:tcPr>
          <w:p w14:paraId="62E5CC7C">
            <w:pPr>
              <w:adjustRightInd w:val="0"/>
              <w:snapToGrid w:val="0"/>
              <w:spacing w:line="440" w:lineRule="exact"/>
              <w:jc w:val="center"/>
              <w:rPr>
                <w:rFonts w:ascii="方正仿宋_GB2312" w:hAnsi="方正仿宋_GB2312" w:eastAsia="方正仿宋_GB2312" w:cs="方正仿宋_GB2312"/>
                <w:color w:val="000000"/>
                <w:sz w:val="28"/>
                <w:szCs w:val="28"/>
                <w:shd w:val="clear" w:color="auto" w:fill="FFFFFF"/>
              </w:rPr>
            </w:pPr>
            <w:r>
              <w:t>Targeted Matchmaking</w:t>
            </w:r>
          </w:p>
        </w:tc>
        <w:tc>
          <w:tcPr>
            <w:tcW w:w="2268" w:type="dxa"/>
            <w:tcBorders>
              <w:top w:val="single" w:color="auto" w:sz="4" w:space="0"/>
              <w:left w:val="single" w:color="auto" w:sz="4" w:space="0"/>
              <w:bottom w:val="single" w:color="auto" w:sz="4" w:space="0"/>
              <w:right w:val="single" w:color="auto" w:sz="4" w:space="0"/>
            </w:tcBorders>
            <w:vAlign w:val="center"/>
          </w:tcPr>
          <w:p w14:paraId="24E2A7A9">
            <w:pPr>
              <w:adjustRightInd w:val="0"/>
              <w:snapToGrid w:val="0"/>
              <w:spacing w:line="440" w:lineRule="exact"/>
              <w:ind w:firstLine="560" w:firstLineChars="200"/>
              <w:rPr>
                <w:rFonts w:ascii="方正仿宋_GB2312" w:hAnsi="方正仿宋_GB2312" w:eastAsia="方正仿宋_GB2312" w:cs="方正仿宋_GB2312"/>
                <w:color w:val="000000"/>
                <w:sz w:val="28"/>
                <w:szCs w:val="28"/>
                <w:shd w:val="clear" w:color="auto" w:fill="FFFFFF"/>
              </w:rPr>
            </w:pPr>
          </w:p>
        </w:tc>
      </w:tr>
      <w:tr w14:paraId="03C39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920" w:type="dxa"/>
            <w:vMerge w:val="continue"/>
            <w:tcBorders>
              <w:left w:val="single" w:color="auto" w:sz="4" w:space="0"/>
              <w:right w:val="single" w:color="auto" w:sz="4" w:space="0"/>
            </w:tcBorders>
            <w:vAlign w:val="center"/>
          </w:tcPr>
          <w:p w14:paraId="0439061F">
            <w:pPr>
              <w:adjustRightInd w:val="0"/>
              <w:snapToGrid w:val="0"/>
              <w:spacing w:line="440" w:lineRule="exact"/>
              <w:jc w:val="center"/>
              <w:rPr>
                <w:rFonts w:ascii="方正仿宋_GB2312" w:hAnsi="方正仿宋_GB2312" w:eastAsia="方正仿宋_GB2312" w:cs="方正仿宋_GB2312"/>
                <w:color w:val="000000"/>
                <w:sz w:val="28"/>
                <w:szCs w:val="28"/>
                <w:shd w:val="clear" w:color="auto" w:fill="FFFFFF"/>
              </w:rPr>
            </w:pPr>
          </w:p>
        </w:tc>
        <w:tc>
          <w:tcPr>
            <w:tcW w:w="3879" w:type="dxa"/>
            <w:tcBorders>
              <w:top w:val="single" w:color="auto" w:sz="4" w:space="0"/>
              <w:left w:val="single" w:color="auto" w:sz="4" w:space="0"/>
              <w:bottom w:val="single" w:color="auto" w:sz="4" w:space="0"/>
              <w:right w:val="single" w:color="auto" w:sz="4" w:space="0"/>
            </w:tcBorders>
            <w:vAlign w:val="center"/>
          </w:tcPr>
          <w:p w14:paraId="1AAC97E6">
            <w:pPr>
              <w:adjustRightInd w:val="0"/>
              <w:snapToGrid w:val="0"/>
              <w:spacing w:line="440" w:lineRule="exact"/>
              <w:jc w:val="center"/>
              <w:rPr>
                <w:rFonts w:ascii="方正仿宋_GB2312" w:hAnsi="方正仿宋_GB2312" w:eastAsia="方正仿宋_GB2312" w:cs="方正仿宋_GB2312"/>
                <w:color w:val="000000"/>
                <w:sz w:val="28"/>
                <w:szCs w:val="28"/>
                <w:shd w:val="clear" w:color="auto" w:fill="FFFFFF"/>
              </w:rPr>
            </w:pPr>
            <w:r>
              <w:t>Exclusive Negotiation</w:t>
            </w:r>
          </w:p>
        </w:tc>
        <w:tc>
          <w:tcPr>
            <w:tcW w:w="2268" w:type="dxa"/>
            <w:tcBorders>
              <w:top w:val="single" w:color="auto" w:sz="4" w:space="0"/>
              <w:left w:val="single" w:color="auto" w:sz="4" w:space="0"/>
              <w:bottom w:val="single" w:color="auto" w:sz="4" w:space="0"/>
              <w:right w:val="single" w:color="auto" w:sz="4" w:space="0"/>
            </w:tcBorders>
            <w:vAlign w:val="center"/>
          </w:tcPr>
          <w:p w14:paraId="6A4C14B7">
            <w:pPr>
              <w:adjustRightInd w:val="0"/>
              <w:snapToGrid w:val="0"/>
              <w:spacing w:line="440" w:lineRule="exact"/>
              <w:rPr>
                <w:rFonts w:ascii="方正仿宋_GB2312" w:hAnsi="方正仿宋_GB2312" w:eastAsia="方正仿宋_GB2312" w:cs="方正仿宋_GB2312"/>
                <w:color w:val="000000"/>
                <w:sz w:val="28"/>
                <w:szCs w:val="28"/>
                <w:shd w:val="clear" w:color="auto" w:fill="FFFFFF"/>
              </w:rPr>
            </w:pPr>
          </w:p>
        </w:tc>
      </w:tr>
      <w:tr w14:paraId="29E6B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920" w:type="dxa"/>
            <w:vMerge w:val="continue"/>
            <w:tcBorders>
              <w:left w:val="single" w:color="auto" w:sz="4" w:space="0"/>
              <w:bottom w:val="single" w:color="auto" w:sz="4" w:space="0"/>
              <w:right w:val="single" w:color="auto" w:sz="4" w:space="0"/>
            </w:tcBorders>
            <w:vAlign w:val="center"/>
          </w:tcPr>
          <w:p w14:paraId="01DA43BB">
            <w:pPr>
              <w:adjustRightInd w:val="0"/>
              <w:snapToGrid w:val="0"/>
              <w:spacing w:line="440" w:lineRule="exact"/>
              <w:jc w:val="center"/>
              <w:rPr>
                <w:rFonts w:ascii="方正仿宋_GB2312" w:hAnsi="方正仿宋_GB2312" w:eastAsia="方正仿宋_GB2312" w:cs="方正仿宋_GB2312"/>
                <w:color w:val="000000"/>
                <w:sz w:val="28"/>
                <w:szCs w:val="28"/>
                <w:shd w:val="clear" w:color="auto" w:fill="FFFFFF"/>
              </w:rPr>
            </w:pPr>
          </w:p>
        </w:tc>
        <w:tc>
          <w:tcPr>
            <w:tcW w:w="3879" w:type="dxa"/>
            <w:tcBorders>
              <w:top w:val="single" w:color="auto" w:sz="4" w:space="0"/>
              <w:left w:val="single" w:color="auto" w:sz="4" w:space="0"/>
              <w:bottom w:val="single" w:color="auto" w:sz="4" w:space="0"/>
              <w:right w:val="single" w:color="auto" w:sz="4" w:space="0"/>
            </w:tcBorders>
            <w:vAlign w:val="center"/>
          </w:tcPr>
          <w:p w14:paraId="2D650180">
            <w:pPr>
              <w:adjustRightInd w:val="0"/>
              <w:snapToGrid w:val="0"/>
              <w:spacing w:line="440" w:lineRule="exact"/>
              <w:jc w:val="center"/>
              <w:rPr>
                <w:rFonts w:ascii="方正仿宋_GB2312" w:hAnsi="方正仿宋_GB2312" w:eastAsia="方正仿宋_GB2312" w:cs="方正仿宋_GB2312"/>
                <w:color w:val="000000"/>
                <w:sz w:val="28"/>
                <w:szCs w:val="28"/>
                <w:shd w:val="clear" w:color="auto" w:fill="FFFFFF"/>
              </w:rPr>
            </w:pPr>
            <w:r>
              <w:t>Other</w:t>
            </w:r>
          </w:p>
        </w:tc>
        <w:tc>
          <w:tcPr>
            <w:tcW w:w="2268" w:type="dxa"/>
            <w:tcBorders>
              <w:top w:val="single" w:color="auto" w:sz="4" w:space="0"/>
              <w:left w:val="single" w:color="auto" w:sz="4" w:space="0"/>
              <w:bottom w:val="single" w:color="auto" w:sz="4" w:space="0"/>
              <w:right w:val="single" w:color="auto" w:sz="4" w:space="0"/>
            </w:tcBorders>
            <w:vAlign w:val="center"/>
          </w:tcPr>
          <w:p w14:paraId="16F7578F">
            <w:pPr>
              <w:adjustRightInd w:val="0"/>
              <w:snapToGrid w:val="0"/>
              <w:spacing w:line="440" w:lineRule="exact"/>
              <w:rPr>
                <w:rFonts w:ascii="方正仿宋_GB2312" w:hAnsi="方正仿宋_GB2312" w:eastAsia="方正仿宋_GB2312" w:cs="方正仿宋_GB2312"/>
                <w:color w:val="000000"/>
                <w:sz w:val="28"/>
                <w:szCs w:val="28"/>
                <w:shd w:val="clear" w:color="auto" w:fill="FFFFFF"/>
              </w:rPr>
            </w:pPr>
          </w:p>
        </w:tc>
      </w:tr>
      <w:tr w14:paraId="423DB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4" w:hRule="atLeast"/>
          <w:jc w:val="center"/>
        </w:trPr>
        <w:tc>
          <w:tcPr>
            <w:tcW w:w="2920" w:type="dxa"/>
            <w:tcBorders>
              <w:top w:val="single" w:color="auto" w:sz="4" w:space="0"/>
              <w:left w:val="single" w:color="auto" w:sz="4" w:space="0"/>
              <w:bottom w:val="single" w:color="auto" w:sz="4" w:space="0"/>
              <w:right w:val="single" w:color="auto" w:sz="4" w:space="0"/>
            </w:tcBorders>
            <w:vAlign w:val="center"/>
          </w:tcPr>
          <w:p w14:paraId="68AC9427">
            <w:pPr>
              <w:spacing w:after="160" w:line="278" w:lineRule="auto"/>
              <w:rPr>
                <w:b/>
                <w:bCs/>
              </w:rPr>
            </w:pPr>
            <w:r>
              <w:rPr>
                <w:b/>
                <w:bCs/>
              </w:rPr>
              <w:t>Information Obtained</w:t>
            </w:r>
          </w:p>
          <w:p w14:paraId="0A7A856D">
            <w:pPr>
              <w:spacing w:after="160" w:line="278" w:lineRule="auto"/>
            </w:pPr>
            <w:r>
              <w:t>(Key beneficial information acquired through conference participation)</w:t>
            </w:r>
          </w:p>
        </w:tc>
        <w:tc>
          <w:tcPr>
            <w:tcW w:w="6147" w:type="dxa"/>
            <w:gridSpan w:val="2"/>
            <w:tcBorders>
              <w:top w:val="single" w:color="auto" w:sz="4" w:space="0"/>
              <w:left w:val="single" w:color="auto" w:sz="4" w:space="0"/>
              <w:bottom w:val="single" w:color="auto" w:sz="4" w:space="0"/>
              <w:right w:val="single" w:color="auto" w:sz="4" w:space="0"/>
            </w:tcBorders>
            <w:vAlign w:val="center"/>
          </w:tcPr>
          <w:p w14:paraId="195D6E15">
            <w:pPr>
              <w:adjustRightInd w:val="0"/>
              <w:snapToGrid w:val="0"/>
              <w:spacing w:line="440" w:lineRule="exact"/>
              <w:rPr>
                <w:rFonts w:ascii="方正仿宋_GB2312" w:hAnsi="方正仿宋_GB2312" w:eastAsia="方正仿宋_GB2312" w:cs="方正仿宋_GB2312"/>
                <w:color w:val="000000"/>
                <w:sz w:val="28"/>
                <w:szCs w:val="28"/>
                <w:shd w:val="clear" w:color="auto" w:fill="FFFFFF"/>
              </w:rPr>
            </w:pPr>
          </w:p>
          <w:p w14:paraId="3054DA0C">
            <w:pPr>
              <w:adjustRightInd w:val="0"/>
              <w:snapToGrid w:val="0"/>
              <w:spacing w:line="440" w:lineRule="exact"/>
              <w:rPr>
                <w:rFonts w:ascii="方正仿宋_GB2312" w:hAnsi="方正仿宋_GB2312" w:eastAsia="方正仿宋_GB2312" w:cs="方正仿宋_GB2312"/>
                <w:color w:val="000000"/>
                <w:sz w:val="28"/>
                <w:szCs w:val="28"/>
                <w:shd w:val="clear" w:color="auto" w:fill="FFFFFF"/>
              </w:rPr>
            </w:pPr>
          </w:p>
        </w:tc>
      </w:tr>
      <w:tr w14:paraId="5053A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920" w:type="dxa"/>
            <w:tcBorders>
              <w:top w:val="single" w:color="auto" w:sz="4" w:space="0"/>
              <w:left w:val="single" w:color="auto" w:sz="4" w:space="0"/>
              <w:bottom w:val="single" w:color="auto" w:sz="4" w:space="0"/>
              <w:right w:val="single" w:color="auto" w:sz="4" w:space="0"/>
            </w:tcBorders>
            <w:vAlign w:val="center"/>
          </w:tcPr>
          <w:p w14:paraId="559F7C1C">
            <w:pPr>
              <w:adjustRightInd w:val="0"/>
              <w:snapToGrid w:val="0"/>
              <w:spacing w:line="440" w:lineRule="exact"/>
              <w:jc w:val="center"/>
              <w:rPr>
                <w:rFonts w:ascii="方正仿宋_GB2312" w:hAnsi="方正仿宋_GB2312" w:eastAsia="方正仿宋_GB2312" w:cs="方正仿宋_GB2312"/>
                <w:color w:val="000000"/>
                <w:sz w:val="28"/>
                <w:szCs w:val="28"/>
                <w:shd w:val="clear" w:color="auto" w:fill="FFFFFF"/>
              </w:rPr>
            </w:pPr>
            <w:r>
              <w:rPr>
                <w:b/>
                <w:bCs/>
              </w:rPr>
              <w:t>Contact details</w:t>
            </w:r>
          </w:p>
        </w:tc>
        <w:tc>
          <w:tcPr>
            <w:tcW w:w="6147" w:type="dxa"/>
            <w:gridSpan w:val="2"/>
            <w:tcBorders>
              <w:top w:val="single" w:color="auto" w:sz="4" w:space="0"/>
              <w:left w:val="single" w:color="auto" w:sz="4" w:space="0"/>
              <w:bottom w:val="single" w:color="auto" w:sz="4" w:space="0"/>
              <w:right w:val="single" w:color="auto" w:sz="4" w:space="0"/>
            </w:tcBorders>
            <w:vAlign w:val="center"/>
          </w:tcPr>
          <w:p w14:paraId="0FB99A53">
            <w:pPr>
              <w:spacing w:after="160"/>
            </w:pPr>
            <w:r>
              <w:t>Organization:</w:t>
            </w:r>
          </w:p>
          <w:p w14:paraId="5E622669">
            <w:pPr>
              <w:spacing w:after="160"/>
            </w:pPr>
            <w:r>
              <w:t>Contact Person and Position:</w:t>
            </w:r>
          </w:p>
          <w:p w14:paraId="76687630">
            <w:pPr>
              <w:spacing w:after="160"/>
            </w:pPr>
            <w:r>
              <w:t>Contact Details:</w:t>
            </w:r>
          </w:p>
          <w:p w14:paraId="208B0CCB">
            <w:pPr>
              <w:spacing w:after="160"/>
            </w:pPr>
            <w:r>
              <w:t>Address:</w:t>
            </w:r>
          </w:p>
          <w:p w14:paraId="11769D3E">
            <w:pPr>
              <w:spacing w:after="160"/>
            </w:pPr>
            <w:r>
              <w:t>Telephone:</w:t>
            </w:r>
          </w:p>
          <w:p w14:paraId="0E7B10AB">
            <w:pPr>
              <w:spacing w:after="160"/>
            </w:pPr>
            <w:r>
              <w:t>WeChat:</w:t>
            </w:r>
          </w:p>
          <w:p w14:paraId="53431A45">
            <w:pPr>
              <w:spacing w:after="160"/>
            </w:pPr>
            <w:r>
              <w:t>Email:</w:t>
            </w:r>
          </w:p>
        </w:tc>
      </w:tr>
      <w:tr w14:paraId="07F3E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920" w:type="dxa"/>
            <w:tcBorders>
              <w:top w:val="single" w:color="auto" w:sz="4" w:space="0"/>
              <w:left w:val="single" w:color="auto" w:sz="4" w:space="0"/>
              <w:bottom w:val="single" w:color="auto" w:sz="4" w:space="0"/>
              <w:right w:val="single" w:color="auto" w:sz="4" w:space="0"/>
            </w:tcBorders>
            <w:vAlign w:val="center"/>
          </w:tcPr>
          <w:p w14:paraId="334CF393">
            <w:pPr>
              <w:spacing w:after="160" w:line="278" w:lineRule="auto"/>
              <w:rPr>
                <w:b/>
                <w:bCs/>
              </w:rPr>
            </w:pPr>
            <w:r>
              <w:rPr>
                <w:b/>
                <w:bCs/>
              </w:rPr>
              <w:t>Other Comments</w:t>
            </w:r>
          </w:p>
        </w:tc>
        <w:tc>
          <w:tcPr>
            <w:tcW w:w="6147" w:type="dxa"/>
            <w:gridSpan w:val="2"/>
            <w:tcBorders>
              <w:top w:val="single" w:color="auto" w:sz="4" w:space="0"/>
              <w:left w:val="single" w:color="auto" w:sz="4" w:space="0"/>
              <w:bottom w:val="single" w:color="auto" w:sz="4" w:space="0"/>
              <w:right w:val="single" w:color="auto" w:sz="4" w:space="0"/>
            </w:tcBorders>
            <w:vAlign w:val="center"/>
          </w:tcPr>
          <w:p w14:paraId="2A292818">
            <w:pPr>
              <w:adjustRightInd w:val="0"/>
              <w:snapToGrid w:val="0"/>
              <w:spacing w:line="440" w:lineRule="exact"/>
              <w:rPr>
                <w:rFonts w:ascii="方正仿宋_GB2312" w:hAnsi="方正仿宋_GB2312" w:eastAsia="方正仿宋_GB2312" w:cs="方正仿宋_GB2312"/>
                <w:color w:val="000000"/>
                <w:sz w:val="28"/>
                <w:szCs w:val="28"/>
                <w:shd w:val="clear" w:color="auto" w:fill="FFFFFF"/>
              </w:rPr>
            </w:pPr>
          </w:p>
        </w:tc>
      </w:tr>
    </w:tbl>
    <w:p w14:paraId="4CC2C044">
      <w:pPr>
        <w:spacing w:after="160" w:line="278" w:lineRule="auto"/>
      </w:pPr>
      <w:r>
        <w:rPr>
          <w:b/>
          <w:bCs/>
        </w:rPr>
        <w:t>Note:</w:t>
      </w:r>
      <w:r>
        <w:t xml:space="preserve"> This form and any related supporting documents should be submitted to:</w:t>
      </w:r>
    </w:p>
    <w:p w14:paraId="6656BC74">
      <w:pPr>
        <w:spacing w:after="160" w:line="278" w:lineRule="auto"/>
      </w:pPr>
      <w:r>
        <w:rPr>
          <w:b/>
          <w:bCs/>
        </w:rPr>
        <w:t>Email:</w:t>
      </w:r>
      <w:r>
        <w:t xml:space="preserve"> </w:t>
      </w:r>
      <w:r>
        <w:fldChar w:fldCharType="begin"/>
      </w:r>
      <w:r>
        <w:instrText xml:space="preserve"> HYPERLINK "mailto:zkl787@163.com" </w:instrText>
      </w:r>
      <w:r>
        <w:fldChar w:fldCharType="separate"/>
      </w:r>
      <w:r>
        <w:rPr>
          <w:rStyle w:val="23"/>
        </w:rPr>
        <w:t>zkl787@163.com</w:t>
      </w:r>
      <w:r>
        <w:rPr>
          <w:rStyle w:val="23"/>
        </w:rPr>
        <w:fldChar w:fldCharType="end"/>
      </w:r>
    </w:p>
    <w:p w14:paraId="2888A07C">
      <w:pPr>
        <w:spacing w:after="160" w:line="278" w:lineRule="auto"/>
      </w:pPr>
      <w:r>
        <w:rPr>
          <w:b/>
          <w:bCs/>
        </w:rPr>
        <w:t>Contacts:</w:t>
      </w:r>
    </w:p>
    <w:p w14:paraId="1C816F92">
      <w:pPr>
        <w:widowControl/>
        <w:numPr>
          <w:ilvl w:val="0"/>
          <w:numId w:val="6"/>
        </w:numPr>
        <w:spacing w:after="160" w:line="278" w:lineRule="auto"/>
        <w:jc w:val="left"/>
      </w:pPr>
      <w:r>
        <w:t>Tang Xiaoqian – Mobile: +86 138 1033 5414</w:t>
      </w:r>
    </w:p>
    <w:p w14:paraId="2CA1E232">
      <w:pPr>
        <w:widowControl/>
        <w:numPr>
          <w:ilvl w:val="0"/>
          <w:numId w:val="6"/>
        </w:numPr>
        <w:spacing w:after="160" w:line="278" w:lineRule="auto"/>
        <w:jc w:val="left"/>
      </w:pPr>
      <w:r>
        <w:t>Jiang Pingyang – Mobile: +86 138 1071 9839</w:t>
      </w:r>
    </w:p>
    <w:p w14:paraId="68BAC4B7">
      <w:pPr>
        <w:spacing w:after="160" w:line="278" w:lineRule="auto"/>
        <w:rPr>
          <w:b/>
          <w:bCs/>
        </w:rPr>
      </w:pPr>
      <w:r>
        <w:rPr>
          <w:b/>
          <w:bCs/>
        </w:rPr>
        <w:t>14. Further Notices</w:t>
      </w:r>
    </w:p>
    <w:p w14:paraId="4AA31189">
      <w:pPr>
        <w:tabs>
          <w:tab w:val="left" w:pos="720"/>
        </w:tabs>
        <w:spacing w:after="160" w:line="278" w:lineRule="auto"/>
      </w:pPr>
      <w:r>
        <w:t>Information regarding Exhibition hall layout and fees; Competitive transaction procedures and other conference arrangements will be announced separately.</w:t>
      </w:r>
    </w:p>
    <w:p w14:paraId="6CE49F17">
      <w:pPr>
        <w:spacing w:after="160" w:line="278" w:lineRule="auto"/>
      </w:pPr>
      <w:r>
        <w:t xml:space="preserve">Participants are encouraged to monitor the websites of the China Mining Association and the China Mining Conference and </w:t>
      </w:r>
      <w:r>
        <w:rPr>
          <w:rFonts w:hint="eastAsia"/>
        </w:rPr>
        <w:t>Exhibition</w:t>
      </w:r>
      <w:r>
        <w:t xml:space="preserve"> for updates.</w:t>
      </w:r>
    </w:p>
    <w:p w14:paraId="5CECD467">
      <w:pPr>
        <w:numPr>
          <w:ilvl w:val="255"/>
          <w:numId w:val="0"/>
        </w:numPr>
        <w:spacing w:line="560" w:lineRule="exact"/>
        <w:ind w:firstLine="560" w:firstLineChars="200"/>
      </w:pPr>
      <w:r>
        <w:rPr>
          <w:rFonts w:hint="eastAsia" w:ascii="方正仿宋_GB2312" w:hAnsi="方正仿宋_GB2312" w:eastAsia="方正仿宋_GB2312" w:cs="方正仿宋_GB2312"/>
          <w:sz w:val="28"/>
          <w:szCs w:val="28"/>
        </w:rPr>
        <w:t xml:space="preserve">  </w:t>
      </w:r>
    </w:p>
    <w:sectPr>
      <w:footerReference r:id="rId3" w:type="default"/>
      <w:pgSz w:w="11906" w:h="16838"/>
      <w:pgMar w:top="1361" w:right="1361" w:bottom="1361"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7D712A0B-CD50-4569-B46B-76DDED8716F6}"/>
  </w:font>
  <w:font w:name="等线 Light">
    <w:panose1 w:val="02010600030101010101"/>
    <w:charset w:val="86"/>
    <w:family w:val="auto"/>
    <w:pitch w:val="default"/>
    <w:sig w:usb0="A00002BF" w:usb1="38CF7CFA" w:usb2="00000016" w:usb3="00000000" w:csb0="0004000F" w:csb1="00000000"/>
  </w:font>
  <w:font w:name="方正仿宋_GB2312">
    <w:altName w:val="仿宋"/>
    <w:panose1 w:val="00000000000000000000"/>
    <w:charset w:val="86"/>
    <w:family w:val="auto"/>
    <w:pitch w:val="default"/>
    <w:sig w:usb0="00000000" w:usb1="00000000" w:usb2="00000012" w:usb3="00000000" w:csb0="00040001" w:csb1="00000000"/>
    <w:embedRegular r:id="rId2" w:fontKey="{1120A58B-D5BB-4FEE-931C-A17689E14530}"/>
  </w:font>
  <w:font w:name="仿宋">
    <w:panose1 w:val="02010609060101010101"/>
    <w:charset w:val="86"/>
    <w:family w:val="modern"/>
    <w:pitch w:val="default"/>
    <w:sig w:usb0="800002BF" w:usb1="38CF7CFA" w:usb2="00000016" w:usb3="00000000" w:csb0="00040001" w:csb1="00000000"/>
    <w:embedRegular r:id="rId3" w:fontKey="{A1E18118-622A-4441-B07E-9327E01A61E1}"/>
  </w:font>
  <w:font w:name="Segoe UI Symbol">
    <w:panose1 w:val="020B0502040204020203"/>
    <w:charset w:val="00"/>
    <w:family w:val="swiss"/>
    <w:pitch w:val="default"/>
    <w:sig w:usb0="800001E3" w:usb1="1200FFEF" w:usb2="00040000" w:usb3="04000000" w:csb0="00000001" w:csb1="40000000"/>
    <w:embedRegular r:id="rId4" w:fontKey="{BD613163-2AEA-481B-97E5-08AFDB9EC119}"/>
  </w:font>
  <w:font w:name="Cambria">
    <w:panose1 w:val="02040503050406030204"/>
    <w:charset w:val="00"/>
    <w:family w:val="roman"/>
    <w:pitch w:val="default"/>
    <w:sig w:usb0="E00006FF" w:usb1="420024FF" w:usb2="02000000" w:usb3="00000000" w:csb0="2000019F" w:csb1="00000000"/>
    <w:embedRegular r:id="rId5" w:fontKey="{E401DA4A-75D3-4362-9A4A-5A4C98E6F962}"/>
  </w:font>
  <w:font w:name="KSOFE885277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34445">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353FC3">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5353FC3">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11138E"/>
    <w:multiLevelType w:val="multilevel"/>
    <w:tmpl w:val="1411138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2FEC2D30"/>
    <w:multiLevelType w:val="multilevel"/>
    <w:tmpl w:val="2FEC2D3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4A1E2FAA"/>
    <w:multiLevelType w:val="multilevel"/>
    <w:tmpl w:val="4A1E2FA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51457A35"/>
    <w:multiLevelType w:val="multilevel"/>
    <w:tmpl w:val="51457A3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60624EAD"/>
    <w:multiLevelType w:val="multilevel"/>
    <w:tmpl w:val="60624EA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660D535D"/>
    <w:multiLevelType w:val="multilevel"/>
    <w:tmpl w:val="660D535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num>
  <w:num w:numId="2">
    <w:abstractNumId w:val="5"/>
  </w:num>
  <w:num w:numId="3">
    <w:abstractNumId w:val="4"/>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5FF"/>
    <w:rsid w:val="00030427"/>
    <w:rsid w:val="003550D8"/>
    <w:rsid w:val="004616C1"/>
    <w:rsid w:val="004625FF"/>
    <w:rsid w:val="0057014F"/>
    <w:rsid w:val="006A6889"/>
    <w:rsid w:val="007C4C61"/>
    <w:rsid w:val="0091014F"/>
    <w:rsid w:val="009845A1"/>
    <w:rsid w:val="00B22E7B"/>
    <w:rsid w:val="00B5595C"/>
    <w:rsid w:val="0107676F"/>
    <w:rsid w:val="03882CBB"/>
    <w:rsid w:val="07292EF4"/>
    <w:rsid w:val="07F312D2"/>
    <w:rsid w:val="09A20370"/>
    <w:rsid w:val="166F5A95"/>
    <w:rsid w:val="19483F10"/>
    <w:rsid w:val="209A42A2"/>
    <w:rsid w:val="23BF2618"/>
    <w:rsid w:val="2B9E1BFB"/>
    <w:rsid w:val="32D305D1"/>
    <w:rsid w:val="33F26287"/>
    <w:rsid w:val="35660D21"/>
    <w:rsid w:val="39F36964"/>
    <w:rsid w:val="3E517FB6"/>
    <w:rsid w:val="4A0A207F"/>
    <w:rsid w:val="4E8D576B"/>
    <w:rsid w:val="50DC644B"/>
    <w:rsid w:val="564D58AA"/>
    <w:rsid w:val="59793D7A"/>
    <w:rsid w:val="5EA16CEA"/>
    <w:rsid w:val="5EBC5FAF"/>
    <w:rsid w:val="627C5C92"/>
    <w:rsid w:val="63F91396"/>
    <w:rsid w:val="656C64A8"/>
    <w:rsid w:val="6655487D"/>
    <w:rsid w:val="6B7B6A31"/>
    <w:rsid w:val="6BB059E3"/>
    <w:rsid w:val="7288540B"/>
    <w:rsid w:val="72DA534A"/>
    <w:rsid w:val="79D462E4"/>
    <w:rsid w:val="7A0A2078"/>
    <w:rsid w:val="7AD91EED"/>
    <w:rsid w:val="7E941F8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4"/>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7"/>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5"/>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8"/>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9"/>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30"/>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1"/>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2"/>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footer"/>
    <w:basedOn w:val="1"/>
    <w:link w:val="42"/>
    <w:unhideWhenUsed/>
    <w:qFormat/>
    <w:uiPriority w:val="99"/>
    <w:pPr>
      <w:tabs>
        <w:tab w:val="center" w:pos="4153"/>
        <w:tab w:val="right" w:pos="8306"/>
      </w:tabs>
      <w:snapToGrid w:val="0"/>
      <w:jc w:val="left"/>
    </w:pPr>
    <w:rPr>
      <w:sz w:val="18"/>
    </w:rPr>
  </w:style>
  <w:style w:type="paragraph" w:styleId="13">
    <w:name w:val="header"/>
    <w:basedOn w:val="1"/>
    <w:link w:val="43"/>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unhideWhenUsed/>
    <w:qFormat/>
    <w:uiPriority w:val="39"/>
  </w:style>
  <w:style w:type="paragraph" w:styleId="15">
    <w:name w:val="Subtitle"/>
    <w:basedOn w:val="1"/>
    <w:next w:val="1"/>
    <w:link w:val="34"/>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Normal (Web)"/>
    <w:basedOn w:val="1"/>
    <w:unhideWhenUsed/>
    <w:qFormat/>
    <w:uiPriority w:val="99"/>
    <w:pPr>
      <w:widowControl/>
      <w:spacing w:before="120" w:after="120"/>
      <w:ind w:firstLine="420"/>
      <w:jc w:val="left"/>
    </w:pPr>
    <w:rPr>
      <w:rFonts w:hint="eastAsia" w:ascii="宋体" w:hAnsi="宋体" w:eastAsia="宋体" w:cs="Times New Roman"/>
      <w:kern w:val="0"/>
      <w:sz w:val="24"/>
      <w:szCs w:val="24"/>
    </w:rPr>
  </w:style>
  <w:style w:type="paragraph" w:styleId="17">
    <w:name w:val="Title"/>
    <w:basedOn w:val="1"/>
    <w:next w:val="1"/>
    <w:link w:val="33"/>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9">
    <w:name w:val="Table Grid"/>
    <w:basedOn w:val="18"/>
    <w:qFormat/>
    <w:uiPriority w:val="39"/>
    <w:rPr>
      <w:rFonts w:hint="eastAsia"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1">
    <w:name w:val="Strong"/>
    <w:basedOn w:val="20"/>
    <w:qFormat/>
    <w:uiPriority w:val="0"/>
    <w:rPr>
      <w:b/>
    </w:rPr>
  </w:style>
  <w:style w:type="character" w:styleId="22">
    <w:name w:val="FollowedHyperlink"/>
    <w:basedOn w:val="20"/>
    <w:unhideWhenUsed/>
    <w:qFormat/>
    <w:uiPriority w:val="99"/>
    <w:rPr>
      <w:color w:val="954F72"/>
      <w:u w:val="single"/>
    </w:rPr>
  </w:style>
  <w:style w:type="character" w:styleId="23">
    <w:name w:val="Hyperlink"/>
    <w:basedOn w:val="20"/>
    <w:unhideWhenUsed/>
    <w:qFormat/>
    <w:uiPriority w:val="99"/>
    <w:rPr>
      <w:color w:val="0563C1"/>
      <w:u w:val="single"/>
    </w:rPr>
  </w:style>
  <w:style w:type="character" w:customStyle="1" w:styleId="24">
    <w:name w:val="Heading 2 Char"/>
    <w:basedOn w:val="20"/>
    <w:link w:val="3"/>
    <w:qFormat/>
    <w:uiPriority w:val="9"/>
    <w:rPr>
      <w:rFonts w:asciiTheme="majorHAnsi" w:hAnsiTheme="majorHAnsi" w:eastAsiaTheme="majorEastAsia" w:cstheme="majorBidi"/>
      <w:color w:val="2F5597" w:themeColor="accent1" w:themeShade="BF"/>
      <w:sz w:val="40"/>
      <w:szCs w:val="40"/>
    </w:rPr>
  </w:style>
  <w:style w:type="character" w:customStyle="1" w:styleId="25">
    <w:name w:val="Heading 4 Char"/>
    <w:basedOn w:val="20"/>
    <w:link w:val="5"/>
    <w:semiHidden/>
    <w:qFormat/>
    <w:uiPriority w:val="9"/>
    <w:rPr>
      <w:rFonts w:cstheme="majorBidi"/>
      <w:color w:val="2F5597" w:themeColor="accent1" w:themeShade="BF"/>
      <w:sz w:val="28"/>
      <w:szCs w:val="28"/>
    </w:rPr>
  </w:style>
  <w:style w:type="character" w:customStyle="1" w:styleId="26">
    <w:name w:val="Heading 1 Char"/>
    <w:basedOn w:val="20"/>
    <w:link w:val="2"/>
    <w:qFormat/>
    <w:uiPriority w:val="9"/>
    <w:rPr>
      <w:rFonts w:asciiTheme="majorHAnsi" w:hAnsiTheme="majorHAnsi" w:eastAsiaTheme="majorEastAsia" w:cstheme="majorBidi"/>
      <w:color w:val="2F5597" w:themeColor="accent1" w:themeShade="BF"/>
      <w:sz w:val="48"/>
      <w:szCs w:val="48"/>
    </w:rPr>
  </w:style>
  <w:style w:type="character" w:customStyle="1" w:styleId="27">
    <w:name w:val="Heading 3 Char"/>
    <w:basedOn w:val="20"/>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8">
    <w:name w:val="Heading 5 Char"/>
    <w:basedOn w:val="20"/>
    <w:link w:val="6"/>
    <w:semiHidden/>
    <w:qFormat/>
    <w:uiPriority w:val="9"/>
    <w:rPr>
      <w:rFonts w:cstheme="majorBidi"/>
      <w:color w:val="2F5597" w:themeColor="accent1" w:themeShade="BF"/>
      <w:sz w:val="24"/>
      <w:szCs w:val="24"/>
    </w:rPr>
  </w:style>
  <w:style w:type="character" w:customStyle="1" w:styleId="29">
    <w:name w:val="Heading 6 Char"/>
    <w:basedOn w:val="20"/>
    <w:link w:val="7"/>
    <w:semiHidden/>
    <w:qFormat/>
    <w:uiPriority w:val="9"/>
    <w:rPr>
      <w:rFonts w:cstheme="majorBidi"/>
      <w:b/>
      <w:bCs/>
      <w:color w:val="2F5597" w:themeColor="accent1" w:themeShade="BF"/>
    </w:rPr>
  </w:style>
  <w:style w:type="character" w:customStyle="1" w:styleId="30">
    <w:name w:val="Heading 7 Char"/>
    <w:basedOn w:val="20"/>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1">
    <w:name w:val="Heading 8 Char"/>
    <w:basedOn w:val="20"/>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2">
    <w:name w:val="Heading 9 Char"/>
    <w:basedOn w:val="20"/>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3">
    <w:name w:val="Title Char"/>
    <w:basedOn w:val="20"/>
    <w:link w:val="17"/>
    <w:qFormat/>
    <w:uiPriority w:val="10"/>
    <w:rPr>
      <w:rFonts w:asciiTheme="majorHAnsi" w:hAnsiTheme="majorHAnsi" w:eastAsiaTheme="majorEastAsia" w:cstheme="majorBidi"/>
      <w:spacing w:val="-10"/>
      <w:kern w:val="28"/>
      <w:sz w:val="56"/>
      <w:szCs w:val="56"/>
    </w:rPr>
  </w:style>
  <w:style w:type="character" w:customStyle="1" w:styleId="34">
    <w:name w:val="Subtitle Char"/>
    <w:basedOn w:val="20"/>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customStyle="1" w:styleId="35">
    <w:name w:val="Quote1"/>
    <w:basedOn w:val="1"/>
    <w:next w:val="1"/>
    <w:link w:val="36"/>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6">
    <w:name w:val="引用 字符"/>
    <w:basedOn w:val="20"/>
    <w:link w:val="35"/>
    <w:qFormat/>
    <w:uiPriority w:val="29"/>
    <w:rPr>
      <w:i/>
      <w:iCs/>
      <w:color w:val="404040" w:themeColor="text1" w:themeTint="BF"/>
      <w14:textFill>
        <w14:solidFill>
          <w14:schemeClr w14:val="tx1">
            <w14:lumMod w14:val="75000"/>
            <w14:lumOff w14:val="25000"/>
          </w14:schemeClr>
        </w14:solidFill>
      </w14:textFill>
    </w:rPr>
  </w:style>
  <w:style w:type="paragraph" w:customStyle="1" w:styleId="37">
    <w:name w:val="List Paragraph1"/>
    <w:basedOn w:val="1"/>
    <w:qFormat/>
    <w:uiPriority w:val="34"/>
    <w:pPr>
      <w:ind w:left="720"/>
      <w:contextualSpacing/>
    </w:pPr>
  </w:style>
  <w:style w:type="character" w:customStyle="1" w:styleId="38">
    <w:name w:val="明显强调1"/>
    <w:basedOn w:val="20"/>
    <w:qFormat/>
    <w:uiPriority w:val="21"/>
    <w:rPr>
      <w:i/>
      <w:iCs/>
      <w:color w:val="2F5597" w:themeColor="accent1" w:themeShade="BF"/>
    </w:rPr>
  </w:style>
  <w:style w:type="paragraph" w:customStyle="1" w:styleId="39">
    <w:name w:val="Intense Quote1"/>
    <w:basedOn w:val="1"/>
    <w:next w:val="1"/>
    <w:link w:val="40"/>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40">
    <w:name w:val="明显引用 字符"/>
    <w:basedOn w:val="20"/>
    <w:link w:val="39"/>
    <w:qFormat/>
    <w:uiPriority w:val="30"/>
    <w:rPr>
      <w:i/>
      <w:iCs/>
      <w:color w:val="2F5597" w:themeColor="accent1" w:themeShade="BF"/>
    </w:rPr>
  </w:style>
  <w:style w:type="character" w:customStyle="1" w:styleId="41">
    <w:name w:val="明显参考1"/>
    <w:basedOn w:val="20"/>
    <w:qFormat/>
    <w:uiPriority w:val="32"/>
    <w:rPr>
      <w:b/>
      <w:bCs/>
      <w:smallCaps/>
      <w:color w:val="2F5597" w:themeColor="accent1" w:themeShade="BF"/>
      <w:spacing w:val="5"/>
    </w:rPr>
  </w:style>
  <w:style w:type="character" w:customStyle="1" w:styleId="42">
    <w:name w:val="Footer Char"/>
    <w:basedOn w:val="20"/>
    <w:link w:val="12"/>
    <w:qFormat/>
    <w:uiPriority w:val="0"/>
    <w:rPr>
      <w:rFonts w:hint="default" w:ascii="Calibri" w:hAnsi="Calibri" w:cs="Arial"/>
      <w:kern w:val="2"/>
      <w:sz w:val="18"/>
      <w:szCs w:val="18"/>
    </w:rPr>
  </w:style>
  <w:style w:type="character" w:customStyle="1" w:styleId="43">
    <w:name w:val="Header Char"/>
    <w:basedOn w:val="20"/>
    <w:link w:val="13"/>
    <w:qFormat/>
    <w:uiPriority w:val="0"/>
    <w:rPr>
      <w:rFonts w:hint="default" w:ascii="Calibri" w:hAnsi="Calibri" w:eastAsia="宋体" w:cs="Arial"/>
      <w:kern w:val="2"/>
      <w:sz w:val="18"/>
      <w:szCs w:val="18"/>
    </w:rPr>
  </w:style>
  <w:style w:type="paragraph" w:customStyle="1" w:styleId="44">
    <w:name w:val="msolistparagraph"/>
    <w:basedOn w:val="1"/>
    <w:qFormat/>
    <w:uiPriority w:val="0"/>
    <w:pPr>
      <w:spacing w:after="160" w:line="276" w:lineRule="auto"/>
      <w:ind w:left="720"/>
      <w:contextualSpacing/>
    </w:pPr>
    <w:rPr>
      <w:rFonts w:ascii="Calibri" w:hAnsi="Calibri" w:eastAsia="宋体" w:cs="Times New Roman"/>
    </w:rPr>
  </w:style>
  <w:style w:type="paragraph" w:customStyle="1" w:styleId="45">
    <w:name w:val="note"/>
    <w:basedOn w:val="1"/>
    <w:qFormat/>
    <w:uiPriority w:val="0"/>
    <w:pPr>
      <w:widowControl/>
      <w:pBdr>
        <w:top w:val="dashed" w:color="999999" w:sz="8" w:space="8"/>
      </w:pBdr>
      <w:spacing w:before="400"/>
      <w:jc w:val="left"/>
    </w:pPr>
    <w:rPr>
      <w:rFonts w:hint="eastAsia" w:ascii="宋体" w:hAnsi="宋体" w:eastAsia="宋体" w:cs="Times New Roman"/>
      <w:color w:val="333333"/>
      <w:kern w:val="0"/>
      <w:sz w:val="20"/>
      <w:szCs w:val="20"/>
    </w:rPr>
  </w:style>
  <w:style w:type="paragraph" w:styleId="46">
    <w:name w:val="List Paragraph"/>
    <w:basedOn w:val="1"/>
    <w:unhideWhenUsed/>
    <w:qFormat/>
    <w:uiPriority w:val="99"/>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Karara Mining LTD</Company>
  <Pages>8</Pages>
  <Words>1620</Words>
  <Characters>10587</Characters>
  <Lines>223</Lines>
  <Paragraphs>145</Paragraphs>
  <TotalTime>16</TotalTime>
  <ScaleCrop>false</ScaleCrop>
  <LinksUpToDate>false</LinksUpToDate>
  <CharactersWithSpaces>12026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2026-06-03T04:19:00Z</dcterms:created>
  <dc:creator>姜 姜</dc:creator>
  <cp:lastModifiedBy>胡纯晓</cp:lastModifiedBy>
  <dcterms:modified xsi:type="dcterms:W3CDTF">2026-06-11T07:39:34Z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6A45398DDC0F47509B3BBBED5406FF11_13</vt:lpwstr>
  </property>
  <property fmtid="{D5CDD505-2E9C-101B-9397-08002B2CF9AE}" pid="4" name="KSOTemplateDocerSaveRecord">
    <vt:lpwstr>eyJoZGlkIjoiNjE1NWY5NmNlN2Y1YmU3NjM1YzVhOGM5Y2RlNWY3MzAiLCJ1c2VySWQiOiIxMTc4MTI3MzEwIn0=</vt:lpwstr>
  </property>
</Properties>
</file>